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248"/>
        <w:gridCol w:w="399"/>
        <w:gridCol w:w="890"/>
        <w:gridCol w:w="414"/>
        <w:gridCol w:w="155"/>
        <w:gridCol w:w="187"/>
        <w:gridCol w:w="383"/>
        <w:gridCol w:w="554"/>
        <w:gridCol w:w="16"/>
        <w:gridCol w:w="269"/>
        <w:gridCol w:w="300"/>
        <w:gridCol w:w="353"/>
        <w:gridCol w:w="217"/>
        <w:gridCol w:w="570"/>
        <w:gridCol w:w="80"/>
        <w:gridCol w:w="71"/>
        <w:gridCol w:w="386"/>
        <w:gridCol w:w="33"/>
        <w:gridCol w:w="113"/>
        <w:gridCol w:w="405"/>
        <w:gridCol w:w="51"/>
        <w:gridCol w:w="570"/>
        <w:gridCol w:w="317"/>
        <w:gridCol w:w="212"/>
        <w:gridCol w:w="41"/>
        <w:gridCol w:w="570"/>
        <w:gridCol w:w="115"/>
        <w:gridCol w:w="1422"/>
        <w:gridCol w:w="10"/>
      </w:tblGrid>
      <w:tr w:rsidR="00AB0F2F" w:rsidRPr="002269DF" w14:paraId="65CEE845" w14:textId="77777777" w:rsidTr="008709D2">
        <w:trPr>
          <w:gridAfter w:val="1"/>
          <w:wAfter w:w="10" w:type="dxa"/>
          <w:trHeight w:val="1611"/>
        </w:trPr>
        <w:tc>
          <w:tcPr>
            <w:tcW w:w="6631" w:type="dxa"/>
            <w:gridSpan w:val="16"/>
          </w:tcPr>
          <w:p w14:paraId="615DDDF0" w14:textId="77777777" w:rsidR="00AB0F2F" w:rsidRPr="002269DF" w:rsidRDefault="00AB0F2F" w:rsidP="001D02B3">
            <w:pPr>
              <w:spacing w:before="120" w:after="120" w:line="240" w:lineRule="auto"/>
              <w:rPr>
                <w:rFonts w:ascii="Times New Roman" w:hAnsi="Times New Roman"/>
              </w:rPr>
            </w:pPr>
            <w:bookmarkStart w:id="0" w:name="t1"/>
            <w:bookmarkStart w:id="1" w:name="_GoBack"/>
            <w:bookmarkEnd w:id="1"/>
            <w:r w:rsidRPr="002269DF">
              <w:rPr>
                <w:rFonts w:ascii="Times New Roman" w:hAnsi="Times New Roman"/>
                <w:b/>
              </w:rPr>
              <w:t>Nazwa projektu</w:t>
            </w:r>
          </w:p>
          <w:p w14:paraId="69183646" w14:textId="77777777" w:rsidR="004C3BE6" w:rsidRPr="002269DF" w:rsidRDefault="0086566F" w:rsidP="001D02B3">
            <w:pPr>
              <w:spacing w:before="120" w:after="120" w:line="240" w:lineRule="auto"/>
              <w:ind w:hanging="45"/>
              <w:jc w:val="both"/>
              <w:rPr>
                <w:rFonts w:ascii="Times New Roman" w:hAnsi="Times New Roman"/>
              </w:rPr>
            </w:pPr>
            <w:r w:rsidRPr="002269DF">
              <w:rPr>
                <w:rFonts w:ascii="Times New Roman" w:hAnsi="Times New Roman"/>
              </w:rPr>
              <w:t>Projekt ustawy o zmianie niektórych ustaw w celu wprowadzenia uproszczeń dla przedsiębiorców w prawie podatkowym i gospodarczym</w:t>
            </w:r>
            <w:bookmarkEnd w:id="0"/>
            <w:r w:rsidRPr="002269DF">
              <w:rPr>
                <w:rFonts w:ascii="Times New Roman" w:hAnsi="Times New Roman"/>
              </w:rPr>
              <w:t xml:space="preserve"> </w:t>
            </w:r>
          </w:p>
          <w:p w14:paraId="60E6FF75" w14:textId="77777777" w:rsidR="00ED7AD9" w:rsidRPr="002269DF" w:rsidRDefault="00ED7AD9" w:rsidP="001D02B3">
            <w:pPr>
              <w:spacing w:before="120" w:after="120" w:line="240" w:lineRule="auto"/>
              <w:ind w:hanging="45"/>
              <w:rPr>
                <w:rFonts w:ascii="Times New Roman" w:hAnsi="Times New Roman"/>
                <w:b/>
                <w:color w:val="000000"/>
              </w:rPr>
            </w:pPr>
            <w:r w:rsidRPr="002269DF">
              <w:rPr>
                <w:rFonts w:ascii="Times New Roman" w:hAnsi="Times New Roman"/>
                <w:b/>
                <w:color w:val="000000"/>
              </w:rPr>
              <w:t>Ministerstwo wiodące i ministerstwa współpracujące</w:t>
            </w:r>
          </w:p>
          <w:p w14:paraId="18E31827" w14:textId="012251AF" w:rsidR="00562008" w:rsidRPr="002269DF" w:rsidRDefault="00ED7AD9" w:rsidP="001D02B3">
            <w:pPr>
              <w:spacing w:line="240" w:lineRule="auto"/>
              <w:jc w:val="both"/>
              <w:rPr>
                <w:rFonts w:ascii="Times New Roman" w:hAnsi="Times New Roman"/>
                <w:b/>
              </w:rPr>
            </w:pPr>
            <w:r w:rsidRPr="002269DF">
              <w:rPr>
                <w:rFonts w:ascii="Times New Roman" w:hAnsi="Times New Roman"/>
                <w:color w:val="000000"/>
              </w:rPr>
              <w:t xml:space="preserve">Ministerstwo Rozwoju </w:t>
            </w:r>
            <w:r w:rsidR="00B30BEA" w:rsidRPr="002269DF">
              <w:rPr>
                <w:rFonts w:ascii="Times New Roman" w:hAnsi="Times New Roman"/>
                <w:color w:val="000000"/>
              </w:rPr>
              <w:t>we współpracy z</w:t>
            </w:r>
            <w:r w:rsidRPr="002269DF">
              <w:rPr>
                <w:rFonts w:ascii="Times New Roman" w:hAnsi="Times New Roman"/>
                <w:color w:val="000000"/>
              </w:rPr>
              <w:t xml:space="preserve"> Ministerstw</w:t>
            </w:r>
            <w:r w:rsidR="00B30BEA" w:rsidRPr="002269DF">
              <w:rPr>
                <w:rFonts w:ascii="Times New Roman" w:hAnsi="Times New Roman"/>
                <w:color w:val="000000"/>
              </w:rPr>
              <w:t>em</w:t>
            </w:r>
            <w:r w:rsidRPr="002269DF">
              <w:rPr>
                <w:rFonts w:ascii="Times New Roman" w:hAnsi="Times New Roman"/>
                <w:color w:val="000000"/>
              </w:rPr>
              <w:t xml:space="preserve"> Finansów</w:t>
            </w:r>
            <w:r w:rsidR="00B30BEA" w:rsidRPr="002269DF">
              <w:rPr>
                <w:rFonts w:ascii="Times New Roman" w:hAnsi="Times New Roman"/>
                <w:color w:val="000000"/>
              </w:rPr>
              <w:t>, Ministerstwem Rodziny, Pracy i Polityki Społecznej oraz</w:t>
            </w:r>
            <w:r w:rsidR="00D73407">
              <w:rPr>
                <w:rFonts w:ascii="Times New Roman" w:hAnsi="Times New Roman"/>
                <w:color w:val="000000"/>
              </w:rPr>
              <w:t> </w:t>
            </w:r>
            <w:r w:rsidR="00B30BEA" w:rsidRPr="002269DF">
              <w:rPr>
                <w:rFonts w:ascii="Times New Roman" w:hAnsi="Times New Roman"/>
                <w:color w:val="000000"/>
              </w:rPr>
              <w:t>Ministerstwem Sprawiedliwości</w:t>
            </w:r>
          </w:p>
          <w:p w14:paraId="5B22522E" w14:textId="77777777" w:rsidR="00ED7AD9" w:rsidRPr="002269DF" w:rsidRDefault="00ED7AD9" w:rsidP="001D02B3">
            <w:pPr>
              <w:spacing w:before="120" w:after="120" w:line="240" w:lineRule="auto"/>
              <w:rPr>
                <w:rFonts w:ascii="Times New Roman" w:hAnsi="Times New Roman"/>
                <w:b/>
              </w:rPr>
            </w:pPr>
            <w:r w:rsidRPr="002269DF">
              <w:rPr>
                <w:rFonts w:ascii="Times New Roman" w:hAnsi="Times New Roman"/>
                <w:b/>
              </w:rPr>
              <w:t xml:space="preserve">Osoba odpowiedzialna za projekt w randze Ministra, Sekretarza Stanu lub Podsekretarza Stanu </w:t>
            </w:r>
          </w:p>
          <w:p w14:paraId="4EB78986" w14:textId="77777777" w:rsidR="00942581" w:rsidRPr="002269DF" w:rsidRDefault="00942581" w:rsidP="001D02B3">
            <w:pPr>
              <w:spacing w:line="240" w:lineRule="auto"/>
              <w:ind w:left="-44"/>
              <w:jc w:val="both"/>
              <w:rPr>
                <w:rFonts w:ascii="Times New Roman" w:hAnsi="Times New Roman"/>
                <w:color w:val="000000"/>
              </w:rPr>
            </w:pPr>
            <w:r w:rsidRPr="002269DF">
              <w:rPr>
                <w:rFonts w:ascii="Times New Roman" w:hAnsi="Times New Roman"/>
                <w:color w:val="000000"/>
              </w:rPr>
              <w:t xml:space="preserve">Mariusz </w:t>
            </w:r>
            <w:proofErr w:type="spellStart"/>
            <w:r w:rsidRPr="002269DF">
              <w:rPr>
                <w:rFonts w:ascii="Times New Roman" w:hAnsi="Times New Roman"/>
                <w:color w:val="000000"/>
              </w:rPr>
              <w:t>Haładyj</w:t>
            </w:r>
            <w:proofErr w:type="spellEnd"/>
            <w:r w:rsidRPr="002269DF">
              <w:rPr>
                <w:rFonts w:ascii="Times New Roman" w:hAnsi="Times New Roman"/>
                <w:color w:val="000000"/>
              </w:rPr>
              <w:t>, Podsekretarz Stanu w Ministerstwie Rozwoju</w:t>
            </w:r>
          </w:p>
          <w:p w14:paraId="7223B936" w14:textId="77777777" w:rsidR="004C3BE6" w:rsidRPr="002269DF" w:rsidRDefault="00942581" w:rsidP="001D02B3">
            <w:pPr>
              <w:spacing w:line="240" w:lineRule="auto"/>
              <w:ind w:left="-44"/>
              <w:jc w:val="both"/>
              <w:rPr>
                <w:rFonts w:ascii="Times New Roman" w:hAnsi="Times New Roman"/>
                <w:color w:val="000000"/>
              </w:rPr>
            </w:pPr>
            <w:r w:rsidRPr="002269DF">
              <w:rPr>
                <w:rFonts w:ascii="Times New Roman" w:hAnsi="Times New Roman"/>
                <w:color w:val="000000"/>
              </w:rPr>
              <w:t>we współpracy ze Stanisławem Szwedem, Sekretarzem Stanu w</w:t>
            </w:r>
            <w:r w:rsidR="00FF19F9" w:rsidRPr="002269DF">
              <w:rPr>
                <w:rFonts w:ascii="Times New Roman" w:hAnsi="Times New Roman"/>
                <w:color w:val="000000"/>
              </w:rPr>
              <w:t> </w:t>
            </w:r>
            <w:r w:rsidRPr="002269DF">
              <w:rPr>
                <w:rFonts w:ascii="Times New Roman" w:hAnsi="Times New Roman"/>
                <w:color w:val="000000"/>
              </w:rPr>
              <w:t xml:space="preserve">Ministerstwie Rodziny, Pracy i Polityki Społecznej, Łukaszem </w:t>
            </w:r>
            <w:proofErr w:type="spellStart"/>
            <w:r w:rsidRPr="002269DF">
              <w:rPr>
                <w:rFonts w:ascii="Times New Roman" w:hAnsi="Times New Roman"/>
                <w:color w:val="000000"/>
              </w:rPr>
              <w:t>Piebiakiem</w:t>
            </w:r>
            <w:proofErr w:type="spellEnd"/>
            <w:r w:rsidRPr="002269DF">
              <w:rPr>
                <w:rFonts w:ascii="Times New Roman" w:hAnsi="Times New Roman"/>
                <w:color w:val="000000"/>
              </w:rPr>
              <w:t>, Podsekretarzem Stanu w Ministerstwie Sprawiedliwości</w:t>
            </w:r>
            <w:r w:rsidR="004C3BE6" w:rsidRPr="002269DF">
              <w:rPr>
                <w:rFonts w:ascii="Times New Roman" w:hAnsi="Times New Roman"/>
                <w:color w:val="000000"/>
              </w:rPr>
              <w:t xml:space="preserve"> </w:t>
            </w:r>
            <w:r w:rsidRPr="002269DF">
              <w:rPr>
                <w:rFonts w:ascii="Times New Roman" w:hAnsi="Times New Roman"/>
                <w:color w:val="000000"/>
              </w:rPr>
              <w:t xml:space="preserve">oraz Leszkiem Skibą, Podsekretarzem Stanu w Ministerstwie Finansów </w:t>
            </w:r>
          </w:p>
          <w:p w14:paraId="5F853D28" w14:textId="77777777" w:rsidR="00ED7AD9" w:rsidRPr="002269DF" w:rsidRDefault="00AB0F2F" w:rsidP="001D02B3">
            <w:pPr>
              <w:spacing w:before="120" w:after="120" w:line="240" w:lineRule="auto"/>
              <w:ind w:left="-45"/>
              <w:rPr>
                <w:rFonts w:ascii="Times New Roman" w:hAnsi="Times New Roman"/>
                <w:b/>
              </w:rPr>
            </w:pPr>
            <w:r w:rsidRPr="002269DF">
              <w:rPr>
                <w:rFonts w:ascii="Times New Roman" w:hAnsi="Times New Roman"/>
                <w:b/>
              </w:rPr>
              <w:t>Kontakt do opiekuna merytorycznego projektu</w:t>
            </w:r>
          </w:p>
          <w:p w14:paraId="15882125" w14:textId="77777777" w:rsidR="00B30BEA" w:rsidRPr="002269DF" w:rsidRDefault="00B30BEA" w:rsidP="001D02B3">
            <w:pPr>
              <w:spacing w:before="120" w:line="240" w:lineRule="auto"/>
              <w:rPr>
                <w:rFonts w:ascii="Times New Roman" w:hAnsi="Times New Roman"/>
              </w:rPr>
            </w:pPr>
            <w:r w:rsidRPr="002269DF">
              <w:rPr>
                <w:rFonts w:ascii="Times New Roman" w:hAnsi="Times New Roman"/>
              </w:rPr>
              <w:t xml:space="preserve">Marek </w:t>
            </w:r>
            <w:proofErr w:type="spellStart"/>
            <w:r w:rsidRPr="002269DF">
              <w:rPr>
                <w:rFonts w:ascii="Times New Roman" w:hAnsi="Times New Roman"/>
              </w:rPr>
              <w:t>Niedużak</w:t>
            </w:r>
            <w:proofErr w:type="spellEnd"/>
            <w:r w:rsidRPr="002269DF">
              <w:rPr>
                <w:rFonts w:ascii="Times New Roman" w:hAnsi="Times New Roman"/>
              </w:rPr>
              <w:t xml:space="preserve">, Dyrektor Departamentu </w:t>
            </w:r>
            <w:r w:rsidR="00CC206B" w:rsidRPr="002269DF">
              <w:rPr>
                <w:rFonts w:ascii="Times New Roman" w:hAnsi="Times New Roman"/>
              </w:rPr>
              <w:t xml:space="preserve">Oceny Ryzyka Regulacyjnego </w:t>
            </w:r>
            <w:r w:rsidRPr="002269DF">
              <w:rPr>
                <w:rFonts w:ascii="Times New Roman" w:hAnsi="Times New Roman"/>
                <w:color w:val="000000"/>
              </w:rPr>
              <w:t>w</w:t>
            </w:r>
            <w:r w:rsidR="00FF19F9" w:rsidRPr="002269DF">
              <w:rPr>
                <w:rFonts w:ascii="Times New Roman" w:hAnsi="Times New Roman"/>
                <w:color w:val="000000"/>
              </w:rPr>
              <w:t> </w:t>
            </w:r>
            <w:r w:rsidRPr="002269DF">
              <w:rPr>
                <w:rFonts w:ascii="Times New Roman" w:hAnsi="Times New Roman"/>
                <w:color w:val="000000"/>
              </w:rPr>
              <w:t>Ministerstwie Rozwoju</w:t>
            </w:r>
            <w:r w:rsidRPr="002269DF">
              <w:rPr>
                <w:rFonts w:ascii="Times New Roman" w:hAnsi="Times New Roman"/>
              </w:rPr>
              <w:t>, tel. 22 </w:t>
            </w:r>
            <w:r w:rsidR="00CC206B" w:rsidRPr="002269DF">
              <w:rPr>
                <w:rFonts w:ascii="Times New Roman" w:hAnsi="Times New Roman"/>
              </w:rPr>
              <w:t>693 59</w:t>
            </w:r>
            <w:r w:rsidRPr="002269DF">
              <w:rPr>
                <w:rFonts w:ascii="Times New Roman" w:hAnsi="Times New Roman"/>
              </w:rPr>
              <w:t xml:space="preserve"> </w:t>
            </w:r>
            <w:r w:rsidR="00CC206B" w:rsidRPr="002269DF">
              <w:rPr>
                <w:rFonts w:ascii="Times New Roman" w:hAnsi="Times New Roman"/>
              </w:rPr>
              <w:t>26</w:t>
            </w:r>
            <w:r w:rsidRPr="002269DF">
              <w:rPr>
                <w:rFonts w:ascii="Times New Roman" w:hAnsi="Times New Roman"/>
              </w:rPr>
              <w:t xml:space="preserve">, </w:t>
            </w:r>
          </w:p>
          <w:p w14:paraId="226C345A" w14:textId="77777777" w:rsidR="00B20EC8" w:rsidRPr="002269DF" w:rsidRDefault="00EE78F8" w:rsidP="001D02B3">
            <w:pPr>
              <w:spacing w:line="240" w:lineRule="auto"/>
              <w:rPr>
                <w:rFonts w:ascii="Times New Roman" w:hAnsi="Times New Roman"/>
              </w:rPr>
            </w:pPr>
            <w:hyperlink r:id="rId9" w:history="1">
              <w:r w:rsidR="009325C2" w:rsidRPr="002269DF">
                <w:rPr>
                  <w:rStyle w:val="Hipercze"/>
                  <w:rFonts w:ascii="Times New Roman" w:hAnsi="Times New Roman"/>
                  <w:color w:val="auto"/>
                  <w:u w:val="none"/>
                </w:rPr>
                <w:t>Marek.Nieduzak@mr.gov.pl</w:t>
              </w:r>
            </w:hyperlink>
            <w:r w:rsidR="00B30BEA" w:rsidRPr="002269DF">
              <w:rPr>
                <w:rFonts w:ascii="Times New Roman" w:hAnsi="Times New Roman"/>
              </w:rPr>
              <w:t>,</w:t>
            </w:r>
          </w:p>
          <w:p w14:paraId="2C21251B" w14:textId="1522BAC5" w:rsidR="009325C2" w:rsidRPr="002269DF" w:rsidRDefault="009325C2" w:rsidP="001D02B3">
            <w:pPr>
              <w:spacing w:before="120" w:after="120" w:line="240" w:lineRule="auto"/>
              <w:rPr>
                <w:rFonts w:ascii="Times New Roman" w:hAnsi="Times New Roman"/>
              </w:rPr>
            </w:pPr>
            <w:r w:rsidRPr="002269DF">
              <w:rPr>
                <w:rFonts w:ascii="Times New Roman" w:hAnsi="Times New Roman"/>
              </w:rPr>
              <w:t xml:space="preserve">Wojciech Paluch, Zastępca Dyrektora Departamentu </w:t>
            </w:r>
            <w:r w:rsidR="00FF19F9" w:rsidRPr="002269DF">
              <w:rPr>
                <w:rFonts w:ascii="Times New Roman" w:hAnsi="Times New Roman"/>
              </w:rPr>
              <w:t xml:space="preserve">Handlu i Usług </w:t>
            </w:r>
            <w:r w:rsidRPr="002269DF">
              <w:rPr>
                <w:rFonts w:ascii="Times New Roman" w:hAnsi="Times New Roman"/>
              </w:rPr>
              <w:t>w</w:t>
            </w:r>
            <w:r w:rsidR="00FF19F9" w:rsidRPr="002269DF">
              <w:rPr>
                <w:rFonts w:ascii="Times New Roman" w:hAnsi="Times New Roman"/>
              </w:rPr>
              <w:t> </w:t>
            </w:r>
            <w:r w:rsidRPr="002269DF">
              <w:rPr>
                <w:rFonts w:ascii="Times New Roman" w:hAnsi="Times New Roman"/>
                <w:color w:val="000000"/>
              </w:rPr>
              <w:t>Ministerstwie Rozwoju</w:t>
            </w:r>
            <w:r w:rsidR="00FF19F9" w:rsidRPr="002269DF">
              <w:rPr>
                <w:rFonts w:ascii="Times New Roman" w:hAnsi="Times New Roman"/>
                <w:color w:val="000000"/>
              </w:rPr>
              <w:t>, tel. 22 693 5</w:t>
            </w:r>
            <w:r w:rsidR="002B5356">
              <w:rPr>
                <w:rFonts w:ascii="Times New Roman" w:hAnsi="Times New Roman"/>
                <w:color w:val="000000"/>
              </w:rPr>
              <w:t>5 53,</w:t>
            </w:r>
            <w:r w:rsidR="002B5356">
              <w:rPr>
                <w:rFonts w:ascii="Times New Roman" w:hAnsi="Times New Roman"/>
                <w:color w:val="000000"/>
              </w:rPr>
              <w:br/>
              <w:t>Wojciech.Paluch@mr.gov.pl</w:t>
            </w:r>
          </w:p>
        </w:tc>
        <w:tc>
          <w:tcPr>
            <w:tcW w:w="4306" w:type="dxa"/>
            <w:gridSpan w:val="13"/>
            <w:shd w:val="clear" w:color="auto" w:fill="FFFFFF"/>
          </w:tcPr>
          <w:p w14:paraId="0E99506F" w14:textId="77777777" w:rsidR="00AB0F2F" w:rsidRPr="002269DF" w:rsidRDefault="00AB0F2F" w:rsidP="00D75DD2">
            <w:pPr>
              <w:spacing w:line="240" w:lineRule="auto"/>
              <w:rPr>
                <w:rFonts w:ascii="Times New Roman" w:hAnsi="Times New Roman"/>
                <w:b/>
              </w:rPr>
            </w:pPr>
            <w:r w:rsidRPr="002269DF">
              <w:rPr>
                <w:rFonts w:ascii="Times New Roman" w:hAnsi="Times New Roman"/>
                <w:b/>
              </w:rPr>
              <w:t>Data sporządzenia</w:t>
            </w:r>
          </w:p>
          <w:p w14:paraId="2AAF5AB6" w14:textId="6D9700DA" w:rsidR="00AB0F2F" w:rsidRPr="002269DF" w:rsidRDefault="00A00D2D" w:rsidP="00D75DD2">
            <w:pPr>
              <w:spacing w:line="240" w:lineRule="auto"/>
              <w:rPr>
                <w:rFonts w:ascii="Times New Roman" w:hAnsi="Times New Roman"/>
              </w:rPr>
            </w:pPr>
            <w:r>
              <w:rPr>
                <w:rFonts w:ascii="Times New Roman" w:hAnsi="Times New Roman"/>
              </w:rPr>
              <w:t>27</w:t>
            </w:r>
            <w:r w:rsidR="00A57753" w:rsidRPr="002269DF">
              <w:rPr>
                <w:rFonts w:ascii="Times New Roman" w:hAnsi="Times New Roman"/>
              </w:rPr>
              <w:t>.</w:t>
            </w:r>
            <w:r w:rsidR="00C461CA" w:rsidRPr="002269DF">
              <w:rPr>
                <w:rFonts w:ascii="Times New Roman" w:hAnsi="Times New Roman"/>
              </w:rPr>
              <w:t>0</w:t>
            </w:r>
            <w:r w:rsidR="00AB1400">
              <w:rPr>
                <w:rFonts w:ascii="Times New Roman" w:hAnsi="Times New Roman"/>
              </w:rPr>
              <w:t>9</w:t>
            </w:r>
            <w:r w:rsidR="00C461CA" w:rsidRPr="002269DF">
              <w:rPr>
                <w:rFonts w:ascii="Times New Roman" w:hAnsi="Times New Roman"/>
              </w:rPr>
              <w:t>.</w:t>
            </w:r>
            <w:r w:rsidR="00C47D44" w:rsidRPr="002269DF">
              <w:rPr>
                <w:rFonts w:ascii="Times New Roman" w:hAnsi="Times New Roman"/>
              </w:rPr>
              <w:t>201</w:t>
            </w:r>
            <w:r w:rsidR="000B0F59" w:rsidRPr="002269DF">
              <w:rPr>
                <w:rFonts w:ascii="Times New Roman" w:hAnsi="Times New Roman"/>
              </w:rPr>
              <w:t>7</w:t>
            </w:r>
            <w:r w:rsidR="00C47D44" w:rsidRPr="002269DF">
              <w:rPr>
                <w:rFonts w:ascii="Times New Roman" w:hAnsi="Times New Roman"/>
              </w:rPr>
              <w:t xml:space="preserve"> r.</w:t>
            </w:r>
          </w:p>
          <w:p w14:paraId="2437CE49" w14:textId="77777777" w:rsidR="00AB0F2F" w:rsidRPr="002269DF" w:rsidRDefault="00AB0F2F" w:rsidP="00D75DD2">
            <w:pPr>
              <w:spacing w:line="240" w:lineRule="auto"/>
              <w:rPr>
                <w:rFonts w:ascii="Times New Roman" w:hAnsi="Times New Roman"/>
                <w:b/>
              </w:rPr>
            </w:pPr>
          </w:p>
          <w:p w14:paraId="0BF19C04" w14:textId="77777777" w:rsidR="00AB0F2F" w:rsidRPr="002269DF" w:rsidRDefault="00AB0F2F" w:rsidP="00D75DD2">
            <w:pPr>
              <w:spacing w:line="240" w:lineRule="auto"/>
              <w:rPr>
                <w:rFonts w:ascii="Times New Roman" w:hAnsi="Times New Roman"/>
                <w:b/>
              </w:rPr>
            </w:pPr>
            <w:r w:rsidRPr="002269DF">
              <w:rPr>
                <w:rFonts w:ascii="Times New Roman" w:hAnsi="Times New Roman"/>
                <w:b/>
              </w:rPr>
              <w:t xml:space="preserve">Źródło: </w:t>
            </w:r>
          </w:p>
          <w:p w14:paraId="4EFB0298" w14:textId="77777777" w:rsidR="00AE4D82" w:rsidRPr="002269DF" w:rsidRDefault="00A67901" w:rsidP="00E00A67">
            <w:pPr>
              <w:spacing w:line="240" w:lineRule="auto"/>
              <w:jc w:val="both"/>
              <w:rPr>
                <w:rFonts w:ascii="Times New Roman" w:hAnsi="Times New Roman"/>
              </w:rPr>
            </w:pPr>
            <w:r w:rsidRPr="002269DF">
              <w:rPr>
                <w:rFonts w:ascii="Times New Roman" w:hAnsi="Times New Roman"/>
              </w:rPr>
              <w:t xml:space="preserve">Strategia </w:t>
            </w:r>
            <w:r w:rsidR="00AE4D82" w:rsidRPr="002269DF">
              <w:rPr>
                <w:rFonts w:ascii="Times New Roman" w:hAnsi="Times New Roman"/>
              </w:rPr>
              <w:t>na rzecz Odpowiedzialnego Rozwoju</w:t>
            </w:r>
            <w:r w:rsidR="00B30BEA" w:rsidRPr="002269DF">
              <w:rPr>
                <w:rFonts w:ascii="Times New Roman" w:hAnsi="Times New Roman"/>
              </w:rPr>
              <w:t xml:space="preserve"> </w:t>
            </w:r>
          </w:p>
          <w:p w14:paraId="0E9F6374" w14:textId="77777777" w:rsidR="00AB0F2F" w:rsidRPr="002269DF" w:rsidRDefault="00AB0F2F" w:rsidP="00D75DD2">
            <w:pPr>
              <w:spacing w:line="240" w:lineRule="auto"/>
              <w:rPr>
                <w:rFonts w:ascii="Times New Roman" w:hAnsi="Times New Roman"/>
                <w:b/>
              </w:rPr>
            </w:pPr>
          </w:p>
          <w:p w14:paraId="13B711A4" w14:textId="77777777" w:rsidR="00AE4D82" w:rsidRPr="002269DF" w:rsidRDefault="00AE4D82" w:rsidP="00D75DD2">
            <w:pPr>
              <w:spacing w:line="240" w:lineRule="auto"/>
              <w:rPr>
                <w:rFonts w:ascii="Times New Roman" w:hAnsi="Times New Roman"/>
                <w:b/>
              </w:rPr>
            </w:pPr>
          </w:p>
          <w:p w14:paraId="712C7267" w14:textId="77777777" w:rsidR="00AB0F2F" w:rsidRPr="002269DF" w:rsidRDefault="00AB0F2F" w:rsidP="00D75DD2">
            <w:pPr>
              <w:spacing w:line="240" w:lineRule="auto"/>
              <w:rPr>
                <w:rFonts w:ascii="Times New Roman" w:hAnsi="Times New Roman"/>
                <w:b/>
              </w:rPr>
            </w:pPr>
            <w:r w:rsidRPr="002269DF">
              <w:rPr>
                <w:rFonts w:ascii="Times New Roman" w:hAnsi="Times New Roman"/>
                <w:b/>
              </w:rPr>
              <w:t xml:space="preserve">Nr w wykazie prac: </w:t>
            </w:r>
            <w:r w:rsidR="00CC206B" w:rsidRPr="002269DF">
              <w:rPr>
                <w:rFonts w:ascii="Times New Roman" w:hAnsi="Times New Roman"/>
                <w:b/>
              </w:rPr>
              <w:t>UD278</w:t>
            </w:r>
          </w:p>
          <w:p w14:paraId="512DD19A" w14:textId="77777777" w:rsidR="00AB0F2F" w:rsidRPr="002269DF" w:rsidRDefault="00AB0F2F" w:rsidP="00D75DD2">
            <w:pPr>
              <w:spacing w:before="120" w:line="240" w:lineRule="auto"/>
              <w:rPr>
                <w:rFonts w:ascii="Times New Roman" w:hAnsi="Times New Roman"/>
              </w:rPr>
            </w:pPr>
          </w:p>
        </w:tc>
      </w:tr>
      <w:tr w:rsidR="00AB0F2F" w:rsidRPr="002269DF" w14:paraId="2F3E2E03" w14:textId="77777777" w:rsidTr="00676C8D">
        <w:trPr>
          <w:gridAfter w:val="1"/>
          <w:wAfter w:w="10" w:type="dxa"/>
          <w:trHeight w:val="142"/>
        </w:trPr>
        <w:tc>
          <w:tcPr>
            <w:tcW w:w="10937" w:type="dxa"/>
            <w:gridSpan w:val="29"/>
            <w:shd w:val="clear" w:color="auto" w:fill="99CCFF"/>
          </w:tcPr>
          <w:p w14:paraId="4DB18B6A" w14:textId="77777777" w:rsidR="00AB0F2F" w:rsidRPr="002269DF" w:rsidRDefault="00AB0F2F" w:rsidP="00D75DD2">
            <w:pPr>
              <w:spacing w:line="240" w:lineRule="auto"/>
              <w:ind w:left="57"/>
              <w:jc w:val="center"/>
              <w:rPr>
                <w:rFonts w:ascii="Times New Roman" w:hAnsi="Times New Roman"/>
                <w:b/>
              </w:rPr>
            </w:pPr>
            <w:r w:rsidRPr="002269DF">
              <w:rPr>
                <w:rFonts w:ascii="Times New Roman" w:hAnsi="Times New Roman"/>
                <w:b/>
              </w:rPr>
              <w:t>OCENA SKUTKÓW REGULACJI</w:t>
            </w:r>
          </w:p>
        </w:tc>
      </w:tr>
      <w:tr w:rsidR="00AB0F2F" w:rsidRPr="002269DF" w14:paraId="36F33A37" w14:textId="77777777" w:rsidTr="00676C8D">
        <w:trPr>
          <w:gridAfter w:val="1"/>
          <w:wAfter w:w="10" w:type="dxa"/>
          <w:trHeight w:val="333"/>
        </w:trPr>
        <w:tc>
          <w:tcPr>
            <w:tcW w:w="10937" w:type="dxa"/>
            <w:gridSpan w:val="29"/>
            <w:shd w:val="clear" w:color="auto" w:fill="99CCFF"/>
            <w:vAlign w:val="center"/>
          </w:tcPr>
          <w:p w14:paraId="7F77EE05" w14:textId="77777777" w:rsidR="00AB0F2F" w:rsidRPr="002269DF" w:rsidRDefault="00AB0F2F" w:rsidP="008B3AA3">
            <w:pPr>
              <w:numPr>
                <w:ilvl w:val="0"/>
                <w:numId w:val="1"/>
              </w:numPr>
              <w:spacing w:before="60" w:after="60" w:line="240" w:lineRule="auto"/>
              <w:ind w:left="318" w:hanging="284"/>
              <w:jc w:val="both"/>
              <w:rPr>
                <w:rFonts w:ascii="Times New Roman" w:hAnsi="Times New Roman"/>
                <w:b/>
              </w:rPr>
            </w:pPr>
            <w:r w:rsidRPr="002269DF">
              <w:rPr>
                <w:rFonts w:ascii="Times New Roman" w:hAnsi="Times New Roman"/>
                <w:b/>
              </w:rPr>
              <w:t>Jaki problem jest rozwiązywany?</w:t>
            </w:r>
            <w:bookmarkStart w:id="2" w:name="Wybór1"/>
            <w:bookmarkEnd w:id="2"/>
          </w:p>
        </w:tc>
      </w:tr>
      <w:tr w:rsidR="00AB0F2F" w:rsidRPr="002269DF" w14:paraId="36FA2A19" w14:textId="77777777" w:rsidTr="00676C8D">
        <w:trPr>
          <w:gridAfter w:val="1"/>
          <w:wAfter w:w="10" w:type="dxa"/>
          <w:trHeight w:val="142"/>
        </w:trPr>
        <w:tc>
          <w:tcPr>
            <w:tcW w:w="10937" w:type="dxa"/>
            <w:gridSpan w:val="29"/>
            <w:shd w:val="clear" w:color="auto" w:fill="FFFFFF"/>
          </w:tcPr>
          <w:p w14:paraId="2C0D2853" w14:textId="77777777" w:rsidR="000352F6" w:rsidRPr="002269DF" w:rsidRDefault="000352F6" w:rsidP="001D02B3">
            <w:pPr>
              <w:spacing w:before="120" w:line="240" w:lineRule="auto"/>
              <w:jc w:val="both"/>
              <w:rPr>
                <w:rFonts w:ascii="Times New Roman" w:hAnsi="Times New Roman"/>
                <w:color w:val="000000"/>
              </w:rPr>
            </w:pPr>
            <w:r w:rsidRPr="002269DF">
              <w:rPr>
                <w:rFonts w:ascii="Times New Roman" w:hAnsi="Times New Roman"/>
                <w:color w:val="000000"/>
              </w:rPr>
              <w:t>Zidentyfikowano szereg przepisów z różnych gałęzi prawa, które ograniczają rozwój polskiej przedsiębiorczości, stanowią zbędne obciążenie biurokratyczne lub istotne utrudnienie w codziennej działalności firm.</w:t>
            </w:r>
          </w:p>
          <w:p w14:paraId="0FD0B18D" w14:textId="1AAF5896" w:rsidR="000352F6" w:rsidRPr="002269DF" w:rsidRDefault="000352F6" w:rsidP="001D02B3">
            <w:pPr>
              <w:spacing w:before="120" w:line="240" w:lineRule="auto"/>
              <w:jc w:val="both"/>
              <w:rPr>
                <w:rFonts w:ascii="Times New Roman" w:hAnsi="Times New Roman"/>
                <w:color w:val="000000"/>
                <w:sz w:val="24"/>
                <w:szCs w:val="24"/>
              </w:rPr>
            </w:pPr>
            <w:r w:rsidRPr="002269DF">
              <w:rPr>
                <w:rFonts w:ascii="Times New Roman" w:hAnsi="Times New Roman"/>
                <w:color w:val="000000"/>
              </w:rPr>
              <w:t>Celem projektowanej regulacji jest usprawnienie procedur, zniesienie zbędnych obciążeń biurokratycznych oraz</w:t>
            </w:r>
            <w:r w:rsidR="00D73407">
              <w:rPr>
                <w:rFonts w:ascii="Times New Roman" w:hAnsi="Times New Roman"/>
                <w:color w:val="000000"/>
              </w:rPr>
              <w:t> </w:t>
            </w:r>
            <w:r w:rsidRPr="002269DF">
              <w:rPr>
                <w:rFonts w:ascii="Times New Roman" w:hAnsi="Times New Roman"/>
                <w:color w:val="000000"/>
              </w:rPr>
              <w:t>wprowadzenie rozwiązań, które w inny sposób przyczynią się do zauważalnej poprawy warunków prowadzenia biznesu w Polsce poprzez dokonanie zmian m.in w ustawach podatkowych, w prawie pracy i ubezpieczeń społecznych, prawie handlowym</w:t>
            </w:r>
            <w:r w:rsidR="00EC1DEE">
              <w:rPr>
                <w:rFonts w:ascii="Times New Roman" w:hAnsi="Times New Roman"/>
                <w:color w:val="000000"/>
              </w:rPr>
              <w:t xml:space="preserve"> i </w:t>
            </w:r>
            <w:r w:rsidRPr="002269DF">
              <w:rPr>
                <w:rFonts w:ascii="Times New Roman" w:hAnsi="Times New Roman"/>
                <w:color w:val="000000"/>
              </w:rPr>
              <w:t>w ustawie o administrowaniu obrotem towarowym z</w:t>
            </w:r>
            <w:r w:rsidR="00D73407">
              <w:rPr>
                <w:rFonts w:ascii="Times New Roman" w:hAnsi="Times New Roman"/>
                <w:color w:val="000000"/>
              </w:rPr>
              <w:t> </w:t>
            </w:r>
            <w:r w:rsidRPr="002269DF">
              <w:rPr>
                <w:rFonts w:ascii="Times New Roman" w:hAnsi="Times New Roman"/>
                <w:color w:val="000000"/>
              </w:rPr>
              <w:t>zagranicą.</w:t>
            </w:r>
            <w:r w:rsidRPr="002269DF" w:rsidDel="00F51D38">
              <w:rPr>
                <w:rFonts w:ascii="Times New Roman" w:hAnsi="Times New Roman"/>
                <w:color w:val="000000"/>
                <w:sz w:val="24"/>
                <w:szCs w:val="24"/>
              </w:rPr>
              <w:t xml:space="preserve"> </w:t>
            </w:r>
          </w:p>
          <w:p w14:paraId="543826F1" w14:textId="0EEAF96F" w:rsidR="00A018B7" w:rsidRPr="002269DF" w:rsidRDefault="00A018B7" w:rsidP="001D02B3">
            <w:pPr>
              <w:spacing w:before="120" w:line="240" w:lineRule="auto"/>
              <w:jc w:val="both"/>
              <w:rPr>
                <w:rFonts w:ascii="Times New Roman" w:hAnsi="Times New Roman"/>
                <w:color w:val="000000"/>
                <w:sz w:val="24"/>
                <w:szCs w:val="24"/>
              </w:rPr>
            </w:pPr>
            <w:r w:rsidRPr="002269DF">
              <w:rPr>
                <w:rFonts w:ascii="Times New Roman" w:hAnsi="Times New Roman"/>
                <w:color w:val="000000"/>
              </w:rPr>
              <w:t>W obszarze prawa podatkowego zidentyfikowano m.in. niepotrzebne obowiązki informacyjne, które albo powielają już</w:t>
            </w:r>
            <w:r w:rsidR="00D73407">
              <w:rPr>
                <w:rFonts w:ascii="Times New Roman" w:hAnsi="Times New Roman"/>
                <w:color w:val="000000"/>
              </w:rPr>
              <w:t> </w:t>
            </w:r>
            <w:r w:rsidRPr="002269DF">
              <w:rPr>
                <w:rFonts w:ascii="Times New Roman" w:hAnsi="Times New Roman"/>
                <w:color w:val="000000"/>
              </w:rPr>
              <w:t>informacje przekazywane przez przedsiębiorców w inny sposób, albo są zbędne z punktu widzenia zapewnienia interesu publicznego i stanowią tym samym niepotrzebne obciążenie administracyjne dla przedsiębiorców. W zakresie niektórych przepisów istnieje też potrzeba wprowadzenia uproszczeń dla najmniejszych podmiotów gospodarczych i</w:t>
            </w:r>
            <w:r w:rsidR="00D73407">
              <w:rPr>
                <w:rFonts w:ascii="Times New Roman" w:hAnsi="Times New Roman"/>
                <w:color w:val="000000"/>
              </w:rPr>
              <w:t> </w:t>
            </w:r>
            <w:r w:rsidRPr="002269DF">
              <w:rPr>
                <w:rFonts w:ascii="Times New Roman" w:hAnsi="Times New Roman"/>
                <w:color w:val="000000"/>
              </w:rPr>
              <w:t>odciążenie ich od niektórych obowiązków biurokratycznych - stąd wskazana jest modyfikacja niektórych obowiązków np. w zakresie ustawy o rachunkowości. Zaistniała też potrzeba dokonania zmian w celu poprawy płynności przedsiębiorstw i</w:t>
            </w:r>
            <w:r w:rsidR="00852DFF" w:rsidRPr="002269DF">
              <w:rPr>
                <w:rFonts w:ascii="Times New Roman" w:hAnsi="Times New Roman"/>
                <w:color w:val="000000"/>
              </w:rPr>
              <w:t> </w:t>
            </w:r>
            <w:r w:rsidRPr="002269DF">
              <w:rPr>
                <w:rFonts w:ascii="Times New Roman" w:hAnsi="Times New Roman"/>
                <w:color w:val="000000"/>
              </w:rPr>
              <w:t>zmniejszenia zatorów płatniczych, np. potrzeba uelastycznienia funkcjonowania tzw. ulgi na złe długi, gdyż obecny termin (150 dni) umożliwiający zastosowanie tego rozwiązania okazał się zbyt długi, a w efekcie ulga ta nie może być wykorzystywana w pożądanym zakresie.</w:t>
            </w:r>
            <w:r w:rsidR="0044010D" w:rsidRPr="002269DF">
              <w:rPr>
                <w:rFonts w:ascii="Times New Roman" w:hAnsi="Times New Roman"/>
                <w:color w:val="000000"/>
              </w:rPr>
              <w:t xml:space="preserve"> Poprawę </w:t>
            </w:r>
            <w:r w:rsidR="00725563" w:rsidRPr="002269DF">
              <w:rPr>
                <w:rFonts w:ascii="Times New Roman" w:hAnsi="Times New Roman"/>
                <w:color w:val="000000"/>
              </w:rPr>
              <w:t>płynności</w:t>
            </w:r>
            <w:r w:rsidR="0044010D" w:rsidRPr="002269DF">
              <w:rPr>
                <w:rFonts w:ascii="Times New Roman" w:hAnsi="Times New Roman"/>
                <w:color w:val="000000"/>
              </w:rPr>
              <w:t xml:space="preserve"> finansowej przedsiębiorców ma również zapewnić zwolnienie z podatku kwot odszkodowań przeznaczonych na odtworzenie środków trwałych, które uległy zniszczeniu.</w:t>
            </w:r>
            <w:r w:rsidRPr="002269DF">
              <w:rPr>
                <w:rFonts w:ascii="Times New Roman" w:hAnsi="Times New Roman"/>
                <w:color w:val="000000"/>
              </w:rPr>
              <w:t xml:space="preserve"> Zidentyfikowane problemy wynikają z doświadczeń i</w:t>
            </w:r>
            <w:r w:rsidR="00852DFF" w:rsidRPr="002269DF">
              <w:rPr>
                <w:rFonts w:ascii="Times New Roman" w:hAnsi="Times New Roman"/>
                <w:color w:val="000000"/>
              </w:rPr>
              <w:t> </w:t>
            </w:r>
            <w:r w:rsidRPr="002269DF">
              <w:rPr>
                <w:rFonts w:ascii="Times New Roman" w:hAnsi="Times New Roman"/>
                <w:color w:val="000000"/>
              </w:rPr>
              <w:t>obserwacji z</w:t>
            </w:r>
            <w:r w:rsidR="001D02B3" w:rsidRPr="002269DF">
              <w:rPr>
                <w:rFonts w:ascii="Times New Roman" w:hAnsi="Times New Roman"/>
                <w:color w:val="000000"/>
              </w:rPr>
              <w:t> </w:t>
            </w:r>
            <w:r w:rsidRPr="002269DF">
              <w:rPr>
                <w:rFonts w:ascii="Times New Roman" w:hAnsi="Times New Roman"/>
                <w:color w:val="000000"/>
              </w:rPr>
              <w:t>dotychczasowego funkcjonowania poszczególnych przepisów prawa</w:t>
            </w:r>
            <w:r w:rsidRPr="002269DF">
              <w:rPr>
                <w:rFonts w:ascii="Times New Roman" w:hAnsi="Times New Roman"/>
                <w:color w:val="000000"/>
                <w:sz w:val="24"/>
                <w:szCs w:val="24"/>
              </w:rPr>
              <w:t xml:space="preserve"> </w:t>
            </w:r>
            <w:r w:rsidRPr="002269DF">
              <w:rPr>
                <w:rFonts w:ascii="Times New Roman" w:hAnsi="Times New Roman"/>
                <w:color w:val="000000"/>
              </w:rPr>
              <w:t>podatkowego.</w:t>
            </w:r>
          </w:p>
          <w:p w14:paraId="093AD8A6" w14:textId="77777777" w:rsidR="000352F6" w:rsidRPr="002269DF" w:rsidRDefault="000352F6" w:rsidP="001D02B3">
            <w:pPr>
              <w:spacing w:before="120" w:line="240" w:lineRule="auto"/>
              <w:jc w:val="both"/>
              <w:rPr>
                <w:rFonts w:ascii="Times New Roman" w:hAnsi="Times New Roman"/>
                <w:color w:val="000000"/>
              </w:rPr>
            </w:pPr>
            <w:r w:rsidRPr="002269DF">
              <w:rPr>
                <w:rFonts w:ascii="Times New Roman" w:hAnsi="Times New Roman"/>
                <w:color w:val="000000"/>
              </w:rPr>
              <w:t xml:space="preserve">Utrudnienia dla przedsiębiorców, zidentyfikowane w obszarze prawa handlowego, wynikają przede wszystkim ze stanu niepewności prawa. Tworzy on nieuzasadnioną barierę przy podejmowaniu decyzji gospodarczych, generuje koszty wynikające z obsługi prawnej, odwleka podjęcie biznesowych decyzji w czasie i zmusza przedsiębiorców do wdawania się w czasochłonne i kosztowne postępowania sądowe. Grupą najbardziej narażoną na niekorzystne efekty w tym zakresie są przedsiębiorcy </w:t>
            </w:r>
            <w:r w:rsidRPr="002269DF">
              <w:rPr>
                <w:rFonts w:ascii="Times New Roman" w:hAnsi="Times New Roman"/>
              </w:rPr>
              <w:t xml:space="preserve">prowadzący działalność w formie spółki z ograniczoną odpowiedzialnością. Zgodnie z danymi Głównego Urzędu Statystycznego, spośród 501 056 zarejestrowanych spółek handlowych, 420 789 z nich stanowiło spółki z ograniczoną odpowiedzialnością (dane za 2016 r.). </w:t>
            </w:r>
            <w:r w:rsidRPr="002269DF">
              <w:rPr>
                <w:rFonts w:ascii="Times New Roman" w:hAnsi="Times New Roman"/>
                <w:color w:val="000000"/>
              </w:rPr>
              <w:t>Zdiagnozowano trzy główne kategorie problemowe w zakresie utrudnień:</w:t>
            </w:r>
          </w:p>
          <w:p w14:paraId="31961DC4" w14:textId="77777777" w:rsidR="000352F6" w:rsidRPr="002269DF" w:rsidRDefault="000352F6" w:rsidP="001D02B3">
            <w:pPr>
              <w:spacing w:before="120" w:line="240" w:lineRule="auto"/>
              <w:jc w:val="both"/>
              <w:rPr>
                <w:rFonts w:ascii="Times New Roman" w:hAnsi="Times New Roman"/>
                <w:color w:val="000000"/>
              </w:rPr>
            </w:pPr>
            <w:r w:rsidRPr="002269DF">
              <w:rPr>
                <w:rFonts w:ascii="Times New Roman" w:hAnsi="Times New Roman"/>
                <w:color w:val="000000"/>
              </w:rPr>
              <w:t>– nieprecyzyjność przepisów dotyczących:</w:t>
            </w:r>
          </w:p>
          <w:p w14:paraId="6700AA4A" w14:textId="77777777"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color w:val="000000"/>
              </w:rPr>
              <w:t xml:space="preserve">adresata oświadczenia o rezygnacji członków organów spółek kapitałowych – rady nadzorczej i zarządu, </w:t>
            </w:r>
          </w:p>
          <w:p w14:paraId="1F91BAAB" w14:textId="46E0AADA"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color w:val="000000"/>
              </w:rPr>
              <w:t>skutków nabycia (objęcia) udziału (lub akcji) ze środków pochodzących z majątku wspólnego, w sytuacji gdy</w:t>
            </w:r>
            <w:r w:rsidR="00D73407">
              <w:rPr>
                <w:rFonts w:ascii="Times New Roman" w:hAnsi="Times New Roman"/>
                <w:color w:val="000000"/>
              </w:rPr>
              <w:t> </w:t>
            </w:r>
            <w:r w:rsidRPr="002269DF">
              <w:rPr>
                <w:rFonts w:ascii="Times New Roman" w:hAnsi="Times New Roman"/>
                <w:color w:val="000000"/>
              </w:rPr>
              <w:t>stroną czynności prawnej jest tylko jeden z małżonków,</w:t>
            </w:r>
          </w:p>
          <w:p w14:paraId="34B2E72C" w14:textId="77777777"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color w:val="000000"/>
              </w:rPr>
              <w:lastRenderedPageBreak/>
              <w:t>reprezentacji spółki w likwidacji,</w:t>
            </w:r>
          </w:p>
          <w:p w14:paraId="4E5B4D8A" w14:textId="77777777"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color w:val="000000"/>
              </w:rPr>
              <w:t>skutków czynności prawnej dokonanej albo przez rzekomy organ osoby prawnej albo przez organ osoby prawnej, lecz z przekroczeniem umocowania,</w:t>
            </w:r>
          </w:p>
          <w:p w14:paraId="1FBA76B5" w14:textId="77777777"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color w:val="000000"/>
              </w:rPr>
              <w:t>pojęcia „dzień dywidendy” w odniesieniu do spółek z ograniczoną odpowiedzialnością,</w:t>
            </w:r>
          </w:p>
          <w:p w14:paraId="4F68D3D9" w14:textId="77777777"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color w:val="000000"/>
              </w:rPr>
              <w:t>zmiany umowy spółki z o.o. w organizacji,</w:t>
            </w:r>
          </w:p>
          <w:p w14:paraId="0393FA5C" w14:textId="77777777"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color w:val="000000"/>
              </w:rPr>
              <w:t>zwrotu przez wspólników zaliczek wypłaconych w poczet dywidendy w roku obrotowym, w którym spółka poniosła stratę,</w:t>
            </w:r>
          </w:p>
          <w:p w14:paraId="5EF85CAF" w14:textId="77777777"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color w:val="000000"/>
              </w:rPr>
              <w:t>organu właściwego do odwołania zgromadzenia wspólników oraz mechanizmu odwołania tego zgromadzenia,</w:t>
            </w:r>
          </w:p>
          <w:p w14:paraId="7908876D" w14:textId="77777777"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color w:val="000000"/>
              </w:rPr>
              <w:t>następstwa procesowego przy podziale spółki kapitałowej,</w:t>
            </w:r>
          </w:p>
          <w:p w14:paraId="57406957" w14:textId="77777777"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rPr>
              <w:t>odpowiedzialności spółki dzielonej za jej zobowiązania po wydzieleniu,</w:t>
            </w:r>
          </w:p>
          <w:p w14:paraId="5D161B7A" w14:textId="77777777"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color w:val="000000"/>
              </w:rPr>
              <w:t>możliwości powołania do zarządu spółki partnerskiej osoby niebędącej jej partnerem,</w:t>
            </w:r>
          </w:p>
          <w:p w14:paraId="3428EE3D" w14:textId="77777777" w:rsidR="000352F6" w:rsidRPr="002269DF" w:rsidRDefault="000352F6" w:rsidP="00341411">
            <w:pPr>
              <w:numPr>
                <w:ilvl w:val="0"/>
                <w:numId w:val="16"/>
              </w:numPr>
              <w:spacing w:before="60" w:line="240" w:lineRule="auto"/>
              <w:jc w:val="both"/>
              <w:rPr>
                <w:rFonts w:ascii="Times New Roman" w:hAnsi="Times New Roman"/>
                <w:color w:val="000000"/>
              </w:rPr>
            </w:pPr>
            <w:r w:rsidRPr="002269DF">
              <w:rPr>
                <w:rFonts w:ascii="Times New Roman" w:hAnsi="Times New Roman"/>
                <w:color w:val="000000"/>
              </w:rPr>
              <w:t>wybranych kwestii o charakterze językowo-legislacyjnym, np. wskazanie, że należy liczyć sumę sum komandytowych przy przekształcaniu spółki w spółkę kapitałową;</w:t>
            </w:r>
          </w:p>
          <w:p w14:paraId="2148689D" w14:textId="77777777" w:rsidR="000352F6" w:rsidRPr="002269DF" w:rsidRDefault="000352F6" w:rsidP="00341411">
            <w:pPr>
              <w:spacing w:before="60" w:line="240" w:lineRule="auto"/>
              <w:jc w:val="both"/>
              <w:rPr>
                <w:rFonts w:ascii="Times New Roman" w:hAnsi="Times New Roman"/>
                <w:color w:val="000000"/>
              </w:rPr>
            </w:pPr>
            <w:r w:rsidRPr="002269DF">
              <w:rPr>
                <w:rFonts w:ascii="Times New Roman" w:hAnsi="Times New Roman"/>
                <w:color w:val="000000"/>
              </w:rPr>
              <w:t xml:space="preserve"> - zbytnią restrykcyjność przepisów w zakresie:</w:t>
            </w:r>
          </w:p>
          <w:p w14:paraId="71E20954" w14:textId="77777777" w:rsidR="000352F6" w:rsidRPr="002269DF" w:rsidRDefault="000352F6" w:rsidP="00341411">
            <w:pPr>
              <w:numPr>
                <w:ilvl w:val="0"/>
                <w:numId w:val="17"/>
              </w:numPr>
              <w:spacing w:before="60" w:line="240" w:lineRule="auto"/>
              <w:jc w:val="both"/>
              <w:rPr>
                <w:rFonts w:ascii="Times New Roman" w:hAnsi="Times New Roman"/>
                <w:color w:val="000000"/>
              </w:rPr>
            </w:pPr>
            <w:r w:rsidRPr="002269DF">
              <w:rPr>
                <w:rFonts w:ascii="Times New Roman" w:hAnsi="Times New Roman"/>
                <w:color w:val="000000"/>
              </w:rPr>
              <w:t>pisemnego podejmowania uchwał przez udziałowców poza zgromadzeniem wspólników,</w:t>
            </w:r>
          </w:p>
          <w:p w14:paraId="078CC17F" w14:textId="77777777" w:rsidR="000352F6" w:rsidRPr="002269DF" w:rsidRDefault="000352F6" w:rsidP="00341411">
            <w:pPr>
              <w:numPr>
                <w:ilvl w:val="0"/>
                <w:numId w:val="17"/>
              </w:numPr>
              <w:spacing w:before="60" w:line="240" w:lineRule="auto"/>
              <w:jc w:val="both"/>
              <w:rPr>
                <w:rFonts w:ascii="Times New Roman" w:hAnsi="Times New Roman"/>
                <w:color w:val="000000"/>
              </w:rPr>
            </w:pPr>
            <w:r w:rsidRPr="002269DF">
              <w:rPr>
                <w:rFonts w:ascii="Times New Roman" w:hAnsi="Times New Roman"/>
                <w:color w:val="000000"/>
              </w:rPr>
              <w:t>składania pełnomocnictw na zgromadzeniu wspólników,</w:t>
            </w:r>
          </w:p>
          <w:p w14:paraId="3DE7E0DB" w14:textId="77777777" w:rsidR="000352F6" w:rsidRPr="002269DF" w:rsidRDefault="000352F6" w:rsidP="00341411">
            <w:pPr>
              <w:numPr>
                <w:ilvl w:val="0"/>
                <w:numId w:val="17"/>
              </w:numPr>
              <w:spacing w:before="60" w:line="240" w:lineRule="auto"/>
              <w:jc w:val="both"/>
              <w:rPr>
                <w:rFonts w:ascii="Times New Roman" w:hAnsi="Times New Roman"/>
                <w:color w:val="000000"/>
              </w:rPr>
            </w:pPr>
            <w:r w:rsidRPr="002269DF">
              <w:rPr>
                <w:rFonts w:ascii="Times New Roman" w:hAnsi="Times New Roman"/>
                <w:color w:val="000000"/>
              </w:rPr>
              <w:t xml:space="preserve">zasad dysponowania </w:t>
            </w:r>
            <w:r w:rsidRPr="002269DF">
              <w:rPr>
                <w:rFonts w:ascii="Times New Roman" w:hAnsi="Times New Roman"/>
                <w:i/>
                <w:color w:val="000000"/>
              </w:rPr>
              <w:t>agio;</w:t>
            </w:r>
          </w:p>
          <w:p w14:paraId="7D2094F8" w14:textId="2D6070B8" w:rsidR="009325C2" w:rsidRPr="002269DF" w:rsidRDefault="009325C2" w:rsidP="001D02B3">
            <w:pPr>
              <w:spacing w:before="120" w:line="240" w:lineRule="auto"/>
              <w:jc w:val="both"/>
              <w:rPr>
                <w:rFonts w:ascii="Times New Roman" w:hAnsi="Times New Roman"/>
              </w:rPr>
            </w:pPr>
            <w:r w:rsidRPr="002269DF">
              <w:rPr>
                <w:rFonts w:ascii="Times New Roman" w:hAnsi="Times New Roman"/>
              </w:rPr>
              <w:t xml:space="preserve">Procedury uzyskiwania pozwoleń na obrót towarami z zagranicą określone są w przepisach prawa wspólnotowego. </w:t>
            </w:r>
            <w:r w:rsidR="00FF19F9" w:rsidRPr="002269DF">
              <w:rPr>
                <w:rFonts w:ascii="Times New Roman" w:hAnsi="Times New Roman"/>
              </w:rPr>
              <w:t xml:space="preserve"> </w:t>
            </w:r>
            <w:r w:rsidRPr="002269DF">
              <w:rPr>
                <w:rFonts w:ascii="Times New Roman" w:hAnsi="Times New Roman"/>
              </w:rPr>
              <w:t>Uzupełniają je przepisy ustawy o administrowaniu obrotem towarowym z zagranicą. Praktyka wydawania zezwoleń przez ministra właściwego ds. gospodarki wskazuje, że nadmiernym obciążeniem (wynikającym z przepisów ustawy) dla</w:t>
            </w:r>
            <w:r w:rsidR="000615BE">
              <w:rPr>
                <w:rFonts w:ascii="Times New Roman" w:hAnsi="Times New Roman"/>
              </w:rPr>
              <w:t> </w:t>
            </w:r>
            <w:r w:rsidRPr="002269DF">
              <w:rPr>
                <w:rFonts w:ascii="Times New Roman" w:hAnsi="Times New Roman"/>
              </w:rPr>
              <w:t>przedsiębiorców składających wnioski jest konieczność dołączania tłumaczeń dokumentów. Przepisy unijne nie wymagają przedkładania tłumaczeń. Dodatkowym obciążeniem proceduralnym dla przedsiębiorców ubiegających się o</w:t>
            </w:r>
            <w:r w:rsidR="00FF19F9" w:rsidRPr="002269DF">
              <w:rPr>
                <w:rFonts w:ascii="Times New Roman" w:hAnsi="Times New Roman"/>
              </w:rPr>
              <w:t> </w:t>
            </w:r>
            <w:r w:rsidRPr="002269DF">
              <w:rPr>
                <w:rFonts w:ascii="Times New Roman" w:hAnsi="Times New Roman"/>
              </w:rPr>
              <w:t>zezwolenia na obrót towarami z zagranicą jest także nadmiarowe stosowanie niektórych przepisów KPA. Przykładem jest obowiązek przedkładania do każdego wniosku pełnomocnictw wraz z dowodem uiszczenia opłaty skarbowej. Przy</w:t>
            </w:r>
            <w:r w:rsidR="000615BE">
              <w:rPr>
                <w:rFonts w:ascii="Times New Roman" w:hAnsi="Times New Roman"/>
              </w:rPr>
              <w:t> </w:t>
            </w:r>
            <w:r w:rsidRPr="002269DF">
              <w:rPr>
                <w:rFonts w:ascii="Times New Roman" w:hAnsi="Times New Roman"/>
              </w:rPr>
              <w:t>środkach polityki handlowej o charakterze wyłącznie nadzorczym, obejmującym dużą ilość towarów i podmiotów, wnioskodawcy składają wnioski z dużą częstotliwością (kilka, kilkanaście jednego dnia). Przedkładanie do każdego z</w:t>
            </w:r>
            <w:r w:rsidR="00FF19F9" w:rsidRPr="002269DF">
              <w:rPr>
                <w:rFonts w:ascii="Times New Roman" w:hAnsi="Times New Roman"/>
              </w:rPr>
              <w:t> </w:t>
            </w:r>
            <w:r w:rsidRPr="002269DF">
              <w:rPr>
                <w:rFonts w:ascii="Times New Roman" w:hAnsi="Times New Roman"/>
              </w:rPr>
              <w:t xml:space="preserve">nich pełnomocnictwa jest dla nich dużym obciążeniem administracyjnym i finansowym. Zniesienie tego obowiązku znacznie usprawni proces wnoszenia wniosków. </w:t>
            </w:r>
          </w:p>
          <w:p w14:paraId="65FFDC76" w14:textId="77777777" w:rsidR="009325C2" w:rsidRPr="002269DF" w:rsidRDefault="009325C2" w:rsidP="001D02B3">
            <w:pPr>
              <w:spacing w:before="120" w:line="240" w:lineRule="auto"/>
              <w:jc w:val="both"/>
              <w:rPr>
                <w:rFonts w:ascii="Times New Roman" w:hAnsi="Times New Roman"/>
              </w:rPr>
            </w:pPr>
            <w:r w:rsidRPr="002269DF">
              <w:rPr>
                <w:rFonts w:ascii="Times New Roman" w:hAnsi="Times New Roman"/>
              </w:rPr>
              <w:t xml:space="preserve">Przepisy prawa pracy uniemożliwiają pracodawcy zatrudniającemu od 21 do 50 pracowników wykonywanie zadań służby </w:t>
            </w:r>
            <w:r w:rsidR="00CE00BC" w:rsidRPr="002269DF">
              <w:rPr>
                <w:rFonts w:ascii="Times New Roman" w:hAnsi="Times New Roman"/>
              </w:rPr>
              <w:t xml:space="preserve">BHP, </w:t>
            </w:r>
            <w:r w:rsidRPr="002269DF">
              <w:rPr>
                <w:rFonts w:ascii="Times New Roman" w:hAnsi="Times New Roman"/>
              </w:rPr>
              <w:t xml:space="preserve">nawet gdy </w:t>
            </w:r>
            <w:r w:rsidR="00CE00BC" w:rsidRPr="002269DF">
              <w:rPr>
                <w:rFonts w:ascii="Times New Roman" w:hAnsi="Times New Roman"/>
              </w:rPr>
              <w:t>pracodawca spełnia</w:t>
            </w:r>
            <w:r w:rsidRPr="002269DF">
              <w:rPr>
                <w:rFonts w:ascii="Times New Roman" w:hAnsi="Times New Roman"/>
              </w:rPr>
              <w:t xml:space="preserve"> wymogi kwalifikacyjne dla pełnienia tej służby. Pracodawca zatrudniający do 50 pracowników (tj. co do zasady nie tworzący służby BHP), który ukończył szkolenie dla pracodawców wykonujących zadania służby bezpieczeństwa i higieny pracy nie może pełnić zadań służby BHP. Taka </w:t>
            </w:r>
            <w:r w:rsidR="00FF19F9" w:rsidRPr="002269DF">
              <w:rPr>
                <w:rFonts w:ascii="Times New Roman" w:hAnsi="Times New Roman"/>
              </w:rPr>
              <w:t>konstrukcja</w:t>
            </w:r>
            <w:r w:rsidRPr="002269DF">
              <w:rPr>
                <w:rFonts w:ascii="Times New Roman" w:hAnsi="Times New Roman"/>
              </w:rPr>
              <w:t xml:space="preserve"> regulacji stanowi obciążenie dla znacznej części przedsiębiorców z sektora małych przedsiębiorstw.</w:t>
            </w:r>
          </w:p>
          <w:p w14:paraId="23B98A23" w14:textId="5B911F64" w:rsidR="00E442AF" w:rsidRPr="002269DF" w:rsidRDefault="009325C2" w:rsidP="00095395">
            <w:pPr>
              <w:spacing w:before="120" w:line="240" w:lineRule="auto"/>
              <w:jc w:val="both"/>
              <w:rPr>
                <w:rFonts w:ascii="Times New Roman" w:hAnsi="Times New Roman"/>
              </w:rPr>
            </w:pPr>
            <w:r w:rsidRPr="002269DF">
              <w:rPr>
                <w:rFonts w:ascii="Times New Roman" w:hAnsi="Times New Roman"/>
                <w:color w:val="231F20"/>
                <w:lang w:eastAsia="pl-PL"/>
              </w:rPr>
              <w:t xml:space="preserve">Kodeks Pracy nazbyt rygorystycznie wdraża regulacje prawne </w:t>
            </w:r>
            <w:r w:rsidRPr="002269DF">
              <w:rPr>
                <w:rFonts w:ascii="Times New Roman" w:hAnsi="Times New Roman"/>
                <w:bCs/>
                <w:color w:val="231F20"/>
                <w:lang w:eastAsia="pl-PL"/>
              </w:rPr>
              <w:t xml:space="preserve">dyrektywy </w:t>
            </w:r>
            <w:r w:rsidR="00CE00BC" w:rsidRPr="002269DF">
              <w:rPr>
                <w:rFonts w:ascii="Times New Roman" w:hAnsi="Times New Roman"/>
                <w:bCs/>
                <w:color w:val="231F20"/>
                <w:lang w:eastAsia="pl-PL"/>
              </w:rPr>
              <w:t>Rady z</w:t>
            </w:r>
            <w:r w:rsidRPr="002269DF">
              <w:rPr>
                <w:rFonts w:ascii="Times New Roman" w:hAnsi="Times New Roman"/>
                <w:bCs/>
                <w:color w:val="231F20"/>
                <w:lang w:eastAsia="pl-PL"/>
              </w:rPr>
              <w:t xml:space="preserve"> dnia 12 czerwca 1989 r. w sprawie </w:t>
            </w:r>
            <w:r w:rsidRPr="002269DF">
              <w:rPr>
                <w:rFonts w:ascii="Times New Roman" w:hAnsi="Times New Roman"/>
                <w:color w:val="231F20"/>
                <w:lang w:eastAsia="pl-PL"/>
              </w:rPr>
              <w:t xml:space="preserve">szkoleń okresowych BHP, obejmując wszystkich pracowników obowiązkiem odbycia szkolenia okresowego BHP, a nie - jak to jest wskazane w dyrektywie - tylko wtedy, jeśli jest to konieczne i uzasadnione. </w:t>
            </w:r>
            <w:r w:rsidRPr="002269DF">
              <w:rPr>
                <w:rFonts w:ascii="Times New Roman" w:hAnsi="Times New Roman"/>
              </w:rPr>
              <w:t>Z zapisów dyrektywy wynika, że</w:t>
            </w:r>
            <w:r w:rsidR="000615BE">
              <w:rPr>
                <w:rFonts w:ascii="Times New Roman" w:hAnsi="Times New Roman"/>
              </w:rPr>
              <w:t> </w:t>
            </w:r>
            <w:r w:rsidRPr="002269DF">
              <w:rPr>
                <w:rFonts w:ascii="Times New Roman" w:hAnsi="Times New Roman"/>
              </w:rPr>
              <w:t xml:space="preserve">szkolenie powinno być powtarzane w przypadkach, gdy </w:t>
            </w:r>
            <w:r w:rsidR="00CE00BC" w:rsidRPr="002269DF">
              <w:rPr>
                <w:rFonts w:ascii="Times New Roman" w:hAnsi="Times New Roman"/>
              </w:rPr>
              <w:t>charakter występujących</w:t>
            </w:r>
            <w:r w:rsidRPr="002269DF">
              <w:rPr>
                <w:rFonts w:ascii="Times New Roman" w:hAnsi="Times New Roman"/>
              </w:rPr>
              <w:t xml:space="preserve"> zagrożeń to uzasadnia. Kodeks Pracy nie uwzględnia przypadków, w których pracownicy mogą być zwolnieni ze szkolenia okresowego.</w:t>
            </w:r>
          </w:p>
          <w:p w14:paraId="6BEB0BB3" w14:textId="4B95FA9B" w:rsidR="00D73407" w:rsidRPr="002269DF" w:rsidRDefault="00D73407" w:rsidP="00D73407">
            <w:pPr>
              <w:spacing w:before="120" w:line="240" w:lineRule="auto"/>
              <w:jc w:val="both"/>
              <w:rPr>
                <w:rFonts w:ascii="Times New Roman" w:hAnsi="Times New Roman"/>
              </w:rPr>
            </w:pPr>
            <w:r w:rsidRPr="002269DF">
              <w:rPr>
                <w:rFonts w:ascii="Times New Roman" w:hAnsi="Times New Roman"/>
              </w:rPr>
              <w:t>Zgodnie z przepisami prawo o ruchu drogowym, motocykl może być wyposażony jedynie w silnik spalinowy – tj.</w:t>
            </w:r>
            <w:r w:rsidR="000615BE">
              <w:rPr>
                <w:rFonts w:ascii="Times New Roman" w:hAnsi="Times New Roman"/>
              </w:rPr>
              <w:t> </w:t>
            </w:r>
            <w:r w:rsidRPr="002269DF">
              <w:rPr>
                <w:rFonts w:ascii="Times New Roman" w:hAnsi="Times New Roman"/>
              </w:rPr>
              <w:t xml:space="preserve">pominięto inne rodzaje napędu. Osoby zainteresowane rejestracją pojazdu wyposażonego w </w:t>
            </w:r>
            <w:r>
              <w:rPr>
                <w:rFonts w:ascii="Times New Roman" w:hAnsi="Times New Roman"/>
              </w:rPr>
              <w:t xml:space="preserve">inny rodzaj </w:t>
            </w:r>
            <w:r w:rsidRPr="002269DF">
              <w:rPr>
                <w:rFonts w:ascii="Times New Roman" w:hAnsi="Times New Roman"/>
              </w:rPr>
              <w:t>napęd</w:t>
            </w:r>
            <w:r>
              <w:rPr>
                <w:rFonts w:ascii="Times New Roman" w:hAnsi="Times New Roman"/>
              </w:rPr>
              <w:t>u,</w:t>
            </w:r>
            <w:r>
              <w:rPr>
                <w:rFonts w:ascii="Times New Roman" w:hAnsi="Times New Roman"/>
                <w:color w:val="000000"/>
                <w:lang w:eastAsia="pl-PL"/>
              </w:rPr>
              <w:t xml:space="preserve"> spełniający kryteria przepisów o homologacji</w:t>
            </w:r>
            <w:r>
              <w:rPr>
                <w:rFonts w:ascii="Times New Roman" w:hAnsi="Times New Roman"/>
              </w:rPr>
              <w:t xml:space="preserve"> (najczęściej</w:t>
            </w:r>
            <w:r w:rsidRPr="002269DF">
              <w:rPr>
                <w:rFonts w:ascii="Times New Roman" w:hAnsi="Times New Roman"/>
              </w:rPr>
              <w:t xml:space="preserve"> elektryczny</w:t>
            </w:r>
            <w:r>
              <w:rPr>
                <w:rFonts w:ascii="Times New Roman" w:hAnsi="Times New Roman"/>
              </w:rPr>
              <w:t xml:space="preserve">), </w:t>
            </w:r>
            <w:r w:rsidRPr="002269DF">
              <w:rPr>
                <w:rFonts w:ascii="Times New Roman" w:hAnsi="Times New Roman"/>
              </w:rPr>
              <w:t>często napotykają na problemy stawiane przez</w:t>
            </w:r>
            <w:r w:rsidR="000615BE">
              <w:rPr>
                <w:rFonts w:ascii="Times New Roman" w:hAnsi="Times New Roman"/>
              </w:rPr>
              <w:t> </w:t>
            </w:r>
            <w:r w:rsidRPr="002269DF">
              <w:rPr>
                <w:rFonts w:ascii="Times New Roman" w:hAnsi="Times New Roman"/>
              </w:rPr>
              <w:t>organy rejestrowe pojazdów. Wskazana definicja motocykla może być sprzeczna z przepisami prawa UE, tj. </w:t>
            </w:r>
            <w:r w:rsidRPr="002269DF">
              <w:rPr>
                <w:rFonts w:ascii="Times New Roman" w:eastAsia="Times New Roman" w:hAnsi="Times New Roman"/>
                <w:lang w:eastAsia="pl-PL"/>
              </w:rPr>
              <w:t>rozporządzeniem Parlamentu Europejskiego i Rady (UE) w sprawie homologacji i nadzoru rynku pojazdów dwu- lub</w:t>
            </w:r>
            <w:r w:rsidR="000615BE">
              <w:rPr>
                <w:rFonts w:ascii="Times New Roman" w:eastAsia="Times New Roman" w:hAnsi="Times New Roman"/>
                <w:lang w:eastAsia="pl-PL"/>
              </w:rPr>
              <w:t> </w:t>
            </w:r>
            <w:r w:rsidRPr="002269DF">
              <w:rPr>
                <w:rFonts w:ascii="Times New Roman" w:eastAsia="Times New Roman" w:hAnsi="Times New Roman"/>
                <w:lang w:eastAsia="pl-PL"/>
              </w:rPr>
              <w:t>trzykołowych oraz czterokołowców. Zgodnie z art. 6 ust. 3 powyższego rozporządzenia, państwa członkowskie nie zakazują, nie ograniczają ani nie utrudniają wprowadzania do obrotu, rejestracji ani dopuszczenia pojazdów, układów, komponentów lub oddzielnych zespołów technicznych z powodów dotyczących aspektów ich budowy i funkcjonowania obję</w:t>
            </w:r>
            <w:r w:rsidRPr="002269DF">
              <w:rPr>
                <w:rFonts w:ascii="Times New Roman" w:eastAsia="Times New Roman" w:hAnsi="Times New Roman"/>
                <w:lang w:eastAsia="pl-PL"/>
              </w:rPr>
              <w:softHyphen/>
              <w:t xml:space="preserve">tych zakresem niniejszego rozporządzenia, jeśli spełniają one jego wymogi. </w:t>
            </w:r>
            <w:r w:rsidRPr="002269DF">
              <w:rPr>
                <w:rFonts w:ascii="Times New Roman" w:hAnsi="Times New Roman"/>
              </w:rPr>
              <w:t xml:space="preserve">Utrudnienia w rejestracji motocykla wyposażonego w </w:t>
            </w:r>
            <w:r>
              <w:rPr>
                <w:rFonts w:ascii="Times New Roman" w:hAnsi="Times New Roman"/>
              </w:rPr>
              <w:t xml:space="preserve">inny niż spalinowy </w:t>
            </w:r>
            <w:r w:rsidRPr="002269DF">
              <w:rPr>
                <w:rFonts w:ascii="Times New Roman" w:hAnsi="Times New Roman"/>
              </w:rPr>
              <w:t>silnik</w:t>
            </w:r>
            <w:r>
              <w:rPr>
                <w:rFonts w:ascii="Times New Roman" w:hAnsi="Times New Roman"/>
              </w:rPr>
              <w:t xml:space="preserve"> spełniający kryteria przepisów o homologacji</w:t>
            </w:r>
            <w:r w:rsidRPr="002269DF">
              <w:rPr>
                <w:rFonts w:ascii="Times New Roman" w:hAnsi="Times New Roman"/>
              </w:rPr>
              <w:t xml:space="preserve"> </w:t>
            </w:r>
            <w:r>
              <w:rPr>
                <w:rFonts w:ascii="Times New Roman" w:hAnsi="Times New Roman"/>
              </w:rPr>
              <w:t xml:space="preserve">(szczególnie elektryczny) </w:t>
            </w:r>
            <w:r w:rsidRPr="002269DF">
              <w:rPr>
                <w:rFonts w:ascii="Times New Roman" w:hAnsi="Times New Roman"/>
              </w:rPr>
              <w:t>powodują ograniczenia rozwoju rynku motocyklowego.</w:t>
            </w:r>
          </w:p>
          <w:p w14:paraId="1C501CB8" w14:textId="77777777" w:rsidR="003952DF" w:rsidRPr="002269DF" w:rsidRDefault="003952DF" w:rsidP="002269DF">
            <w:pPr>
              <w:spacing w:before="120" w:line="240" w:lineRule="auto"/>
              <w:jc w:val="both"/>
              <w:rPr>
                <w:rFonts w:ascii="Times New Roman" w:hAnsi="Times New Roman"/>
              </w:rPr>
            </w:pPr>
            <w:r w:rsidRPr="002269DF">
              <w:rPr>
                <w:rFonts w:ascii="Times New Roman" w:hAnsi="Times New Roman"/>
              </w:rPr>
              <w:t>Udzielanie zezwoleń na obrót hurtowy napojami alkoholowymi regulują przepisy ustawy o wychowaniu w trzeźwości i</w:t>
            </w:r>
            <w:r w:rsidR="00FF412C" w:rsidRPr="002269DF">
              <w:rPr>
                <w:rFonts w:ascii="Times New Roman" w:hAnsi="Times New Roman"/>
              </w:rPr>
              <w:t> </w:t>
            </w:r>
            <w:r w:rsidRPr="002269DF">
              <w:rPr>
                <w:rFonts w:ascii="Times New Roman" w:hAnsi="Times New Roman"/>
              </w:rPr>
              <w:t>przeciwdziałaniu alkoholizmowi oraz rozporządzenia wykonawczego. Warunkiem uzyskania przez przedsiębiorcę zezwolenia jest dołączanie do wniosku szeregu dokumentów, co nie ma bezpośredniego wpływu na jakość i</w:t>
            </w:r>
            <w:r w:rsidR="00FF412C" w:rsidRPr="002269DF">
              <w:rPr>
                <w:rFonts w:ascii="Times New Roman" w:hAnsi="Times New Roman"/>
              </w:rPr>
              <w:t> </w:t>
            </w:r>
            <w:r w:rsidRPr="002269DF">
              <w:rPr>
                <w:rFonts w:ascii="Times New Roman" w:hAnsi="Times New Roman"/>
              </w:rPr>
              <w:t>bezpieczeństwo wykonywania tego rodzaju działalności. Warunki, których spełnienie poświadczają te dokument</w:t>
            </w:r>
            <w:r w:rsidR="00FF412C" w:rsidRPr="002269DF">
              <w:rPr>
                <w:rFonts w:ascii="Times New Roman" w:hAnsi="Times New Roman"/>
              </w:rPr>
              <w:t>y</w:t>
            </w:r>
            <w:r w:rsidRPr="002269DF">
              <w:rPr>
                <w:rFonts w:ascii="Times New Roman" w:hAnsi="Times New Roman"/>
              </w:rPr>
              <w:t xml:space="preserve"> są przedmiotem zainteresowania innych organów, mających – w zakresie realizacji tych warunków - kompetencje kontrolne. Obecne wymogi formalne są nadmiernym obciążeniem dla przedsiębiorcy. </w:t>
            </w:r>
          </w:p>
          <w:p w14:paraId="486A8520" w14:textId="77777777" w:rsidR="003952DF" w:rsidRPr="002269DF" w:rsidRDefault="003952DF" w:rsidP="000308AA">
            <w:pPr>
              <w:spacing w:line="240" w:lineRule="auto"/>
              <w:jc w:val="both"/>
              <w:rPr>
                <w:rFonts w:ascii="Times New Roman" w:hAnsi="Times New Roman"/>
              </w:rPr>
            </w:pPr>
            <w:r w:rsidRPr="002269DF">
              <w:rPr>
                <w:rFonts w:ascii="Times New Roman" w:hAnsi="Times New Roman"/>
              </w:rPr>
              <w:lastRenderedPageBreak/>
              <w:t>Warunkiem prowadzenia działalności na podstawie ww. zezwoleń jest m.in. przekazywanie organowi zezwalającemu informacji o wielkości sprzedaży napojów alkoholowych w terminie do dnia 31 stycznia za rok poprzedni. Niespełnienie tego warunku skutkować może cofnięciem zezwolenia.</w:t>
            </w:r>
            <w:r w:rsidR="006C54D1" w:rsidRPr="002269DF">
              <w:rPr>
                <w:rFonts w:ascii="Times New Roman" w:hAnsi="Times New Roman"/>
              </w:rPr>
              <w:t xml:space="preserve"> </w:t>
            </w:r>
            <w:r w:rsidRPr="002269DF">
              <w:rPr>
                <w:rFonts w:ascii="Times New Roman" w:hAnsi="Times New Roman"/>
              </w:rPr>
              <w:t>Wymóg składania tej informacji nie znajduje uzasadnienia ponieważ na jej podstawie nie jest możliwe oszacowanie faktycznej wielkości sprzedaży w odniesieniu do konkretnego zezwolenia i jest niepotrzebnym obciążeniem sprawozdawczym.</w:t>
            </w:r>
          </w:p>
          <w:p w14:paraId="39820500" w14:textId="77777777" w:rsidR="003952DF" w:rsidRPr="002269DF" w:rsidRDefault="003952DF" w:rsidP="000308AA">
            <w:pPr>
              <w:spacing w:line="240" w:lineRule="auto"/>
              <w:jc w:val="both"/>
              <w:rPr>
                <w:rFonts w:ascii="Times New Roman" w:hAnsi="Times New Roman"/>
              </w:rPr>
            </w:pPr>
            <w:r w:rsidRPr="002269DF">
              <w:rPr>
                <w:rFonts w:ascii="Times New Roman" w:hAnsi="Times New Roman"/>
              </w:rPr>
              <w:t>Obciążeniem administracyjnym dla przedsiębiorców prowadzących działalność w zakresie obrotu hurtowego napojami alkoholowymi jest także konieczność uzyskiwania osobnego zezwolenia w przypadku hurtowego zaopatrywania statków, pociągów i samolotów. Przedsiębiorcy, posiadający zezwolenie na hurt powinni na podstawie tego zezwolenia mieć możliwość zaopatrywania także ww. środki komunikacji w napoje alkoholowe. Obciążenie to nie dotyczy przedsiębiorców, którzy działają wyłącznie w zakresie zaopatrywania statków, pociągów i samolotów.</w:t>
            </w:r>
          </w:p>
          <w:p w14:paraId="4C06ABD0" w14:textId="77777777" w:rsidR="003952DF" w:rsidRPr="002269DF" w:rsidRDefault="003952DF" w:rsidP="000308AA">
            <w:pPr>
              <w:spacing w:line="240" w:lineRule="auto"/>
              <w:jc w:val="both"/>
              <w:rPr>
                <w:rFonts w:ascii="Times New Roman" w:hAnsi="Times New Roman"/>
              </w:rPr>
            </w:pPr>
            <w:r w:rsidRPr="002269DF">
              <w:rPr>
                <w:rFonts w:ascii="Times New Roman" w:hAnsi="Times New Roman"/>
                <w:spacing w:val="4"/>
              </w:rPr>
              <w:t>Opłata za korzystanie z zezwolenia na sprzedaż napojów alkoholowych wnoszona jest na rachunek gminy w każdym roku kalendarzowym objętym zezwoleniem w trzech równych ratach w terminach do 31 stycznia, 31 maja i 30 września danego roku kalendarzowego. Zapis sugerujący, że opłata może być wnoszona jedynie w ratach budzi wątpliwości interpretacyjne w zakresie możliwości uiszczenia opłaty jednorazowo.</w:t>
            </w:r>
          </w:p>
        </w:tc>
      </w:tr>
      <w:tr w:rsidR="00AB0F2F" w:rsidRPr="002269DF" w14:paraId="15DB9C70" w14:textId="77777777" w:rsidTr="00676C8D">
        <w:trPr>
          <w:gridAfter w:val="1"/>
          <w:wAfter w:w="10" w:type="dxa"/>
          <w:trHeight w:val="142"/>
        </w:trPr>
        <w:tc>
          <w:tcPr>
            <w:tcW w:w="10937" w:type="dxa"/>
            <w:gridSpan w:val="29"/>
            <w:shd w:val="clear" w:color="auto" w:fill="99CCFF"/>
            <w:vAlign w:val="center"/>
          </w:tcPr>
          <w:p w14:paraId="362DCB43" w14:textId="77777777" w:rsidR="00AB0F2F" w:rsidRPr="002269DF" w:rsidRDefault="00AB0F2F" w:rsidP="008B3AA3">
            <w:pPr>
              <w:numPr>
                <w:ilvl w:val="0"/>
                <w:numId w:val="1"/>
              </w:numPr>
              <w:spacing w:before="60" w:after="60" w:line="240" w:lineRule="auto"/>
              <w:ind w:left="318" w:hanging="284"/>
              <w:jc w:val="both"/>
              <w:rPr>
                <w:rFonts w:ascii="Times New Roman" w:hAnsi="Times New Roman"/>
                <w:b/>
              </w:rPr>
            </w:pPr>
            <w:r w:rsidRPr="002269DF">
              <w:rPr>
                <w:rFonts w:ascii="Times New Roman" w:hAnsi="Times New Roman"/>
                <w:b/>
                <w:spacing w:val="-2"/>
              </w:rPr>
              <w:lastRenderedPageBreak/>
              <w:t>Rekomendowane rozwiązanie, w tym planowane narzędzia interwencji, i oczekiwany efekt</w:t>
            </w:r>
          </w:p>
        </w:tc>
      </w:tr>
      <w:tr w:rsidR="00AB0F2F" w:rsidRPr="002269DF" w14:paraId="4A3BE4C2" w14:textId="77777777" w:rsidTr="00676C8D">
        <w:trPr>
          <w:gridAfter w:val="1"/>
          <w:wAfter w:w="10" w:type="dxa"/>
          <w:trHeight w:val="142"/>
        </w:trPr>
        <w:tc>
          <w:tcPr>
            <w:tcW w:w="10937" w:type="dxa"/>
            <w:gridSpan w:val="29"/>
            <w:shd w:val="clear" w:color="auto" w:fill="auto"/>
          </w:tcPr>
          <w:p w14:paraId="250D3906" w14:textId="77777777" w:rsidR="00F07F09" w:rsidRPr="002269DF" w:rsidRDefault="000B0F59" w:rsidP="00E57828">
            <w:pPr>
              <w:spacing w:before="120" w:line="240" w:lineRule="auto"/>
              <w:jc w:val="both"/>
              <w:rPr>
                <w:rFonts w:ascii="Times New Roman" w:hAnsi="Times New Roman"/>
              </w:rPr>
            </w:pPr>
            <w:r w:rsidRPr="002269DF">
              <w:rPr>
                <w:rFonts w:ascii="Times New Roman" w:hAnsi="Times New Roman"/>
              </w:rPr>
              <w:t>Proponuje</w:t>
            </w:r>
            <w:r w:rsidR="00F07F09" w:rsidRPr="002269DF">
              <w:rPr>
                <w:rFonts w:ascii="Times New Roman" w:hAnsi="Times New Roman"/>
              </w:rPr>
              <w:t xml:space="preserve"> się:</w:t>
            </w:r>
          </w:p>
          <w:p w14:paraId="075167D6" w14:textId="77777777" w:rsidR="00535CA3" w:rsidRPr="002269DF" w:rsidRDefault="00535CA3" w:rsidP="00E57828">
            <w:pPr>
              <w:spacing w:before="120" w:line="240" w:lineRule="auto"/>
              <w:jc w:val="both"/>
              <w:rPr>
                <w:rFonts w:ascii="Times New Roman" w:hAnsi="Times New Roman"/>
                <w:b/>
              </w:rPr>
            </w:pPr>
            <w:r w:rsidRPr="002269DF">
              <w:rPr>
                <w:rFonts w:ascii="Times New Roman" w:hAnsi="Times New Roman"/>
                <w:b/>
              </w:rPr>
              <w:t>- w zakresie podatków dochodowych</w:t>
            </w:r>
          </w:p>
          <w:p w14:paraId="59092940" w14:textId="77777777" w:rsidR="007B658D" w:rsidRPr="002269DF" w:rsidRDefault="00535CA3" w:rsidP="008B3AA3">
            <w:pPr>
              <w:numPr>
                <w:ilvl w:val="0"/>
                <w:numId w:val="6"/>
              </w:numPr>
              <w:spacing w:before="120" w:line="240" w:lineRule="auto"/>
              <w:contextualSpacing/>
              <w:jc w:val="both"/>
              <w:rPr>
                <w:rFonts w:ascii="Times New Roman" w:hAnsi="Times New Roman"/>
              </w:rPr>
            </w:pPr>
            <w:r w:rsidRPr="002269DF">
              <w:rPr>
                <w:rFonts w:ascii="Times New Roman" w:hAnsi="Times New Roman"/>
              </w:rPr>
              <w:t>likwidację obowiązków</w:t>
            </w:r>
            <w:r w:rsidR="007B658D" w:rsidRPr="002269DF">
              <w:rPr>
                <w:rFonts w:ascii="Times New Roman" w:hAnsi="Times New Roman"/>
              </w:rPr>
              <w:t>:</w:t>
            </w:r>
          </w:p>
          <w:p w14:paraId="4F80520B" w14:textId="77777777" w:rsidR="00392BBF" w:rsidRPr="002269DF" w:rsidRDefault="008E6A9D" w:rsidP="007850A6">
            <w:pPr>
              <w:numPr>
                <w:ilvl w:val="1"/>
                <w:numId w:val="6"/>
              </w:numPr>
              <w:spacing w:before="120" w:line="240" w:lineRule="auto"/>
              <w:contextualSpacing/>
              <w:jc w:val="both"/>
              <w:rPr>
                <w:rFonts w:ascii="Times New Roman" w:hAnsi="Times New Roman"/>
              </w:rPr>
            </w:pPr>
            <w:r w:rsidRPr="002269DF">
              <w:rPr>
                <w:rFonts w:ascii="Times New Roman" w:hAnsi="Times New Roman"/>
              </w:rPr>
              <w:t xml:space="preserve"> </w:t>
            </w:r>
            <w:r w:rsidR="007B658D" w:rsidRPr="002269DF">
              <w:rPr>
                <w:rFonts w:ascii="Times New Roman" w:hAnsi="Times New Roman"/>
              </w:rPr>
              <w:t xml:space="preserve">informacyjnych m.in. o okresie zawieszenia wykonywania działalności, </w:t>
            </w:r>
            <w:r w:rsidR="00392BBF" w:rsidRPr="002269DF">
              <w:rPr>
                <w:rFonts w:ascii="Times New Roman" w:hAnsi="Times New Roman"/>
                <w:bCs/>
              </w:rPr>
              <w:t>o prowadzeniu księgi przychodów i rozchodów</w:t>
            </w:r>
            <w:r w:rsidR="00392BBF" w:rsidRPr="002269DF">
              <w:rPr>
                <w:rFonts w:ascii="Times New Roman" w:hAnsi="Times New Roman"/>
              </w:rPr>
              <w:t>,</w:t>
            </w:r>
          </w:p>
          <w:p w14:paraId="08D84904" w14:textId="77777777" w:rsidR="00392BBF" w:rsidRPr="002269DF" w:rsidRDefault="007B658D" w:rsidP="00392BBF">
            <w:pPr>
              <w:numPr>
                <w:ilvl w:val="1"/>
                <w:numId w:val="6"/>
              </w:numPr>
              <w:spacing w:before="120" w:line="240" w:lineRule="auto"/>
              <w:contextualSpacing/>
              <w:jc w:val="both"/>
              <w:rPr>
                <w:rFonts w:ascii="Times New Roman" w:hAnsi="Times New Roman"/>
              </w:rPr>
            </w:pPr>
            <w:r w:rsidRPr="002269DF">
              <w:rPr>
                <w:rFonts w:ascii="Times New Roman" w:hAnsi="Times New Roman"/>
              </w:rPr>
              <w:t xml:space="preserve"> </w:t>
            </w:r>
            <w:r w:rsidR="00392BBF" w:rsidRPr="002269DF">
              <w:rPr>
                <w:rFonts w:ascii="Times New Roman" w:hAnsi="Times New Roman"/>
                <w:bCs/>
              </w:rPr>
              <w:t>odrębnego powiadomienia m.in. o wyborze sposobu ustalania daty powstania przychodu w przypadku pobrania wpłat na poczet dostaw towarów i usług, o wyborze przez podatnika rozliczania różnic kursowych ustalanych w oparciu o przepisy o rachunkowości, złożeniu zawiadomienia o zamiarze prowadzenia ksiąg rachunkowych w roku następnym, o wyborze sposobu wpłacania zaliczek,</w:t>
            </w:r>
          </w:p>
          <w:p w14:paraId="6C75C9D6" w14:textId="77777777" w:rsidR="007B658D" w:rsidRPr="002269DF" w:rsidRDefault="007B658D" w:rsidP="007850A6">
            <w:pPr>
              <w:numPr>
                <w:ilvl w:val="1"/>
                <w:numId w:val="6"/>
              </w:numPr>
              <w:spacing w:before="120" w:line="240" w:lineRule="auto"/>
              <w:contextualSpacing/>
              <w:jc w:val="both"/>
              <w:rPr>
                <w:rFonts w:ascii="Times New Roman" w:hAnsi="Times New Roman"/>
              </w:rPr>
            </w:pPr>
            <w:r w:rsidRPr="002269DF">
              <w:rPr>
                <w:rFonts w:ascii="Times New Roman" w:hAnsi="Times New Roman"/>
              </w:rPr>
              <w:t>dokumentacyjnych m.in. prowadzenia indywidualnych (imiennych) kart przychodów pracowników, ewidencji wyposażenia, ewidencji zatrudnienia.</w:t>
            </w:r>
          </w:p>
          <w:p w14:paraId="7DCCF719" w14:textId="77777777" w:rsidR="00852720" w:rsidRPr="002269DF" w:rsidRDefault="007B658D" w:rsidP="007850A6">
            <w:pPr>
              <w:spacing w:before="120" w:line="240" w:lineRule="auto"/>
              <w:ind w:left="1080"/>
              <w:contextualSpacing/>
              <w:jc w:val="both"/>
              <w:rPr>
                <w:rFonts w:ascii="Times New Roman" w:hAnsi="Times New Roman"/>
              </w:rPr>
            </w:pPr>
            <w:r w:rsidRPr="002269DF">
              <w:rPr>
                <w:rFonts w:ascii="Times New Roman" w:hAnsi="Times New Roman"/>
              </w:rPr>
              <w:t xml:space="preserve">- które </w:t>
            </w:r>
            <w:r w:rsidR="00535CA3" w:rsidRPr="002269DF">
              <w:rPr>
                <w:rFonts w:ascii="Times New Roman" w:hAnsi="Times New Roman"/>
              </w:rPr>
              <w:t>bezpośrednio nie wpływają na rozliczenia podatkowe i dotyczą okoliczności, których ustalenie możliwe jest w oparciu o inne dokumenty posiadane przez podatnika</w:t>
            </w:r>
            <w:r w:rsidR="00852720" w:rsidRPr="002269DF">
              <w:rPr>
                <w:rFonts w:ascii="Times New Roman" w:hAnsi="Times New Roman"/>
              </w:rPr>
              <w:t>,</w:t>
            </w:r>
            <w:r w:rsidRPr="002269DF">
              <w:rPr>
                <w:rFonts w:ascii="Times New Roman" w:hAnsi="Times New Roman"/>
              </w:rPr>
              <w:t xml:space="preserve"> </w:t>
            </w:r>
          </w:p>
          <w:p w14:paraId="3B306AB3" w14:textId="77777777" w:rsidR="00852720" w:rsidRPr="002269DF" w:rsidRDefault="00852720" w:rsidP="008B3AA3">
            <w:pPr>
              <w:numPr>
                <w:ilvl w:val="0"/>
                <w:numId w:val="6"/>
              </w:numPr>
              <w:spacing w:before="120" w:line="240" w:lineRule="auto"/>
              <w:jc w:val="both"/>
              <w:rPr>
                <w:rFonts w:ascii="Times New Roman" w:hAnsi="Times New Roman"/>
              </w:rPr>
            </w:pPr>
            <w:r w:rsidRPr="002269DF">
              <w:rPr>
                <w:rFonts w:ascii="Times New Roman" w:hAnsi="Times New Roman"/>
              </w:rPr>
              <w:t>wydłużenie terminów na dokonanie wyboru sposobu i formy opodatkowania podatkiem dochodowym dochodów/ przychodów osiąganych przez osoby fizyczne (co do zasady z 20 stycznia roku podatkowego do 20 dnia miesiąca następującego po miesiącu, w którym został osiągnięty pierwszy przychód),</w:t>
            </w:r>
          </w:p>
          <w:p w14:paraId="4B7A2F2A" w14:textId="77777777" w:rsidR="00535CA3" w:rsidRPr="002269DF" w:rsidRDefault="00535CA3" w:rsidP="008B3AA3">
            <w:pPr>
              <w:numPr>
                <w:ilvl w:val="0"/>
                <w:numId w:val="6"/>
              </w:numPr>
              <w:spacing w:before="120" w:line="240" w:lineRule="auto"/>
              <w:jc w:val="both"/>
              <w:rPr>
                <w:rFonts w:ascii="Times New Roman" w:hAnsi="Times New Roman"/>
              </w:rPr>
            </w:pPr>
            <w:r w:rsidRPr="002269DF">
              <w:rPr>
                <w:rFonts w:ascii="Times New Roman" w:hAnsi="Times New Roman"/>
              </w:rPr>
              <w:t>wprowadzenie możliwości pomniejszenia przez wierzyciela podstawy opodatkowania o kwotę wierzytelności, jeżeli wierzytelność ta nie została uregulowana lub zbyta w jakiejkolwiek formie w ciągu 120 dni od dnia upływu terminu jej płatności określonego w umowie lub na fakturze (tzw. złe długi)</w:t>
            </w:r>
            <w:r w:rsidR="00EC43D8" w:rsidRPr="002269DF">
              <w:rPr>
                <w:rFonts w:ascii="Times New Roman" w:hAnsi="Times New Roman"/>
              </w:rPr>
              <w:t>,</w:t>
            </w:r>
          </w:p>
          <w:p w14:paraId="29704BCE" w14:textId="1C33BA54" w:rsidR="00EC43D8" w:rsidRPr="002269DF" w:rsidRDefault="00EC43D8" w:rsidP="008B3AA3">
            <w:pPr>
              <w:numPr>
                <w:ilvl w:val="0"/>
                <w:numId w:val="6"/>
              </w:numPr>
              <w:spacing w:before="120" w:line="240" w:lineRule="auto"/>
              <w:jc w:val="both"/>
              <w:rPr>
                <w:rFonts w:ascii="Times New Roman" w:hAnsi="Times New Roman"/>
              </w:rPr>
            </w:pPr>
            <w:r w:rsidRPr="002269DF">
              <w:rPr>
                <w:rFonts w:ascii="Times New Roman" w:hAnsi="Times New Roman"/>
              </w:rPr>
              <w:t>podwyższenie progu przychodów uprawniającego do uzyskania statusu „małego podatnika” z 1,2 mln euro do 2 mln euro</w:t>
            </w:r>
            <w:r w:rsidR="00EA25AB">
              <w:rPr>
                <w:rFonts w:ascii="Times New Roman" w:hAnsi="Times New Roman"/>
              </w:rPr>
              <w:t>. Status „małego podatnika” uprawnia podatników PIT prowadzących działalność gospodarczą do wyboru kwartalnego sposobu wpłacania zaliczek oraz tzw. jednorazowej amortyzacji do 50 tys. euro, natomiast podatników CIT do wyboru kwartalnego sposobu wpłacania zaliczek, jednorazowej amortyzacji oraz możliwości zastosowania obniżonej 15% stawki podatku</w:t>
            </w:r>
            <w:r w:rsidRPr="002269DF">
              <w:rPr>
                <w:rFonts w:ascii="Times New Roman" w:hAnsi="Times New Roman"/>
              </w:rPr>
              <w:t>,</w:t>
            </w:r>
          </w:p>
          <w:p w14:paraId="5A58D6BF" w14:textId="45D4D849" w:rsidR="00172E36" w:rsidRPr="00184323" w:rsidRDefault="00EC43D8" w:rsidP="00BF4972">
            <w:pPr>
              <w:numPr>
                <w:ilvl w:val="0"/>
                <w:numId w:val="6"/>
              </w:numPr>
              <w:spacing w:before="120" w:line="240" w:lineRule="auto"/>
              <w:jc w:val="both"/>
              <w:rPr>
                <w:rFonts w:ascii="Times New Roman" w:hAnsi="Times New Roman"/>
              </w:rPr>
            </w:pPr>
            <w:r w:rsidRPr="00184323">
              <w:rPr>
                <w:rFonts w:ascii="Times New Roman" w:hAnsi="Times New Roman"/>
              </w:rPr>
              <w:t xml:space="preserve">wprowadzenie możliwości </w:t>
            </w:r>
            <w:r w:rsidR="00184323" w:rsidRPr="00184323">
              <w:rPr>
                <w:rFonts w:ascii="Times New Roman" w:hAnsi="Times New Roman"/>
              </w:rPr>
              <w:t>zaliczenia w koszty podatkowe należności z tytułu umowy o pracę, umowy zlecenia lub umowy o dzieło wypłaconych małżonkowi podatnika (w przypadku prowadzenia działalności przez osobę fizyczną), oraz wypłacanych małżonkom wspólników spółki niebędącej osobą prawną</w:t>
            </w:r>
            <w:r w:rsidR="00184323">
              <w:rPr>
                <w:rFonts w:ascii="Times New Roman" w:hAnsi="Times New Roman"/>
              </w:rPr>
              <w:t>,</w:t>
            </w:r>
            <w:r w:rsidR="00C44AC3" w:rsidRPr="00184323">
              <w:rPr>
                <w:rFonts w:ascii="Times New Roman" w:hAnsi="Times New Roman"/>
              </w:rPr>
              <w:t xml:space="preserve"> </w:t>
            </w:r>
          </w:p>
          <w:p w14:paraId="1D33416B" w14:textId="6AEEEC2C" w:rsidR="00EC43D8" w:rsidRPr="002269DF" w:rsidRDefault="00EC43D8" w:rsidP="008B3AA3">
            <w:pPr>
              <w:numPr>
                <w:ilvl w:val="0"/>
                <w:numId w:val="6"/>
              </w:numPr>
              <w:spacing w:before="120" w:line="240" w:lineRule="auto"/>
              <w:jc w:val="both"/>
              <w:rPr>
                <w:rFonts w:ascii="Times New Roman" w:hAnsi="Times New Roman"/>
              </w:rPr>
            </w:pPr>
            <w:r w:rsidRPr="002269DF">
              <w:rPr>
                <w:rFonts w:ascii="Times New Roman" w:hAnsi="Times New Roman"/>
              </w:rPr>
              <w:t>wprowadzenie możliwości jednorazowego rozliczenia straty podatkowej do wysokości 5 mln zł (dopiero nadwyżka tej kwoty byłaby rozliczana na dotychczasowych zasadach uwzględniających maksymalnie 50% w</w:t>
            </w:r>
            <w:r w:rsidR="000615BE">
              <w:rPr>
                <w:rFonts w:ascii="Times New Roman" w:hAnsi="Times New Roman"/>
              </w:rPr>
              <w:t> </w:t>
            </w:r>
            <w:r w:rsidRPr="002269DF">
              <w:rPr>
                <w:rFonts w:ascii="Times New Roman" w:hAnsi="Times New Roman"/>
              </w:rPr>
              <w:t>jednym roku),</w:t>
            </w:r>
          </w:p>
          <w:p w14:paraId="52616C27" w14:textId="191944F6" w:rsidR="00A3018A" w:rsidRPr="002269DF" w:rsidRDefault="00A3018A" w:rsidP="00172E36">
            <w:pPr>
              <w:numPr>
                <w:ilvl w:val="0"/>
                <w:numId w:val="6"/>
              </w:numPr>
              <w:spacing w:before="120" w:line="240" w:lineRule="auto"/>
              <w:jc w:val="both"/>
              <w:rPr>
                <w:rFonts w:ascii="Times New Roman" w:hAnsi="Times New Roman"/>
              </w:rPr>
            </w:pPr>
            <w:r w:rsidRPr="002269DF">
              <w:rPr>
                <w:rFonts w:ascii="Times New Roman" w:hAnsi="Times New Roman"/>
              </w:rPr>
              <w:t>wprowadzenie zwolnienia z podatku kwot odszkodowań</w:t>
            </w:r>
            <w:r w:rsidR="00172E36" w:rsidRPr="002269DF">
              <w:rPr>
                <w:rFonts w:ascii="Times New Roman" w:hAnsi="Times New Roman"/>
              </w:rPr>
              <w:t xml:space="preserve"> (uzyskanych od ubezpieczyciela)</w:t>
            </w:r>
            <w:r w:rsidRPr="002269DF">
              <w:rPr>
                <w:rFonts w:ascii="Times New Roman" w:hAnsi="Times New Roman"/>
              </w:rPr>
              <w:t xml:space="preserve"> przeznaczanych na</w:t>
            </w:r>
            <w:r w:rsidR="000615BE">
              <w:rPr>
                <w:rFonts w:ascii="Times New Roman" w:hAnsi="Times New Roman"/>
              </w:rPr>
              <w:t> </w:t>
            </w:r>
            <w:r w:rsidRPr="002269DF">
              <w:rPr>
                <w:rFonts w:ascii="Times New Roman" w:hAnsi="Times New Roman"/>
              </w:rPr>
              <w:t>odtworzenie zniszczonego majątku (środków trwałych</w:t>
            </w:r>
            <w:r w:rsidR="00172E36" w:rsidRPr="002269DF">
              <w:rPr>
                <w:rFonts w:ascii="Times New Roman" w:hAnsi="Times New Roman"/>
              </w:rPr>
              <w:t>, z wyjątkiem samochodu osobowego</w:t>
            </w:r>
            <w:r w:rsidRPr="002269DF">
              <w:rPr>
                <w:rFonts w:ascii="Times New Roman" w:hAnsi="Times New Roman"/>
              </w:rPr>
              <w:t>)</w:t>
            </w:r>
            <w:r w:rsidR="00172E36" w:rsidRPr="002269DF">
              <w:rPr>
                <w:rFonts w:ascii="Times New Roman" w:hAnsi="Times New Roman"/>
              </w:rPr>
              <w:t>,</w:t>
            </w:r>
          </w:p>
          <w:p w14:paraId="7E7EFC8A" w14:textId="64FF4DF5" w:rsidR="00A63A1B" w:rsidRPr="002269DF" w:rsidRDefault="00A63A1B" w:rsidP="00A63A1B">
            <w:pPr>
              <w:spacing w:before="120" w:line="240" w:lineRule="auto"/>
              <w:jc w:val="both"/>
              <w:rPr>
                <w:rFonts w:ascii="Times New Roman" w:hAnsi="Times New Roman"/>
              </w:rPr>
            </w:pPr>
            <w:r w:rsidRPr="002269DF">
              <w:rPr>
                <w:rFonts w:ascii="Times New Roman" w:hAnsi="Times New Roman"/>
              </w:rPr>
              <w:t>Warunkiem zastosowania tego zwolnienia byłoby wydatkowanie przez podatnika – w okresie nie późniejszym niż</w:t>
            </w:r>
            <w:r w:rsidR="000615BE">
              <w:rPr>
                <w:rFonts w:ascii="Times New Roman" w:hAnsi="Times New Roman"/>
              </w:rPr>
              <w:t> </w:t>
            </w:r>
            <w:r w:rsidRPr="002269DF">
              <w:rPr>
                <w:rFonts w:ascii="Times New Roman" w:hAnsi="Times New Roman"/>
              </w:rPr>
              <w:t>do</w:t>
            </w:r>
            <w:r w:rsidR="000615BE">
              <w:rPr>
                <w:rFonts w:ascii="Times New Roman" w:hAnsi="Times New Roman"/>
              </w:rPr>
              <w:t> </w:t>
            </w:r>
            <w:r w:rsidRPr="002269DF">
              <w:rPr>
                <w:rFonts w:ascii="Times New Roman" w:hAnsi="Times New Roman"/>
              </w:rPr>
              <w:t>upływu kolejnego roku podatkowego - równowartości otrzymanego odszkodowania na naprawę uszkodzonego środka trwałego bądź na zakup lub wytworzenie analogicznego środka trwałego, mogącego zastąpić środek trwały uprzednio zniszczony lub uszkodzony.</w:t>
            </w:r>
          </w:p>
          <w:p w14:paraId="68AB3B4F" w14:textId="77777777" w:rsidR="00E57828" w:rsidRPr="002269DF" w:rsidRDefault="00E57828" w:rsidP="00E57828">
            <w:pPr>
              <w:spacing w:before="120" w:line="240" w:lineRule="auto"/>
              <w:jc w:val="both"/>
              <w:rPr>
                <w:rFonts w:ascii="Times New Roman" w:hAnsi="Times New Roman"/>
                <w:b/>
              </w:rPr>
            </w:pPr>
            <w:r w:rsidRPr="002269DF">
              <w:rPr>
                <w:rFonts w:ascii="Times New Roman" w:hAnsi="Times New Roman"/>
                <w:b/>
              </w:rPr>
              <w:t>- w zakresie</w:t>
            </w:r>
            <w:r w:rsidR="005113E5" w:rsidRPr="002269DF">
              <w:rPr>
                <w:rFonts w:ascii="Times New Roman" w:hAnsi="Times New Roman"/>
                <w:b/>
              </w:rPr>
              <w:t xml:space="preserve"> </w:t>
            </w:r>
            <w:r w:rsidRPr="002269DF">
              <w:rPr>
                <w:rFonts w:ascii="Times New Roman" w:hAnsi="Times New Roman"/>
                <w:b/>
              </w:rPr>
              <w:t>podatków lokalnych i majątkowych</w:t>
            </w:r>
          </w:p>
          <w:p w14:paraId="0C0F253C" w14:textId="77777777" w:rsidR="00E57828" w:rsidRPr="002269DF" w:rsidRDefault="00E57828" w:rsidP="00D14C0D">
            <w:pPr>
              <w:numPr>
                <w:ilvl w:val="0"/>
                <w:numId w:val="9"/>
              </w:numPr>
              <w:spacing w:before="120" w:line="240" w:lineRule="auto"/>
              <w:contextualSpacing/>
              <w:jc w:val="both"/>
              <w:rPr>
                <w:rFonts w:ascii="Times New Roman" w:hAnsi="Times New Roman"/>
              </w:rPr>
            </w:pPr>
            <w:r w:rsidRPr="002269DF">
              <w:rPr>
                <w:rFonts w:ascii="Times New Roman" w:hAnsi="Times New Roman"/>
              </w:rPr>
              <w:t xml:space="preserve">uprawnienie ministra właściwego do spraw finansów publicznych do określenia jednolitych wzorów formularzy deklaracji i informacji na podatki: od nieruchomości, rolny i leśny, oraz umożliwienie powszechnego </w:t>
            </w:r>
            <w:r w:rsidR="00CE00BC" w:rsidRPr="002269DF">
              <w:rPr>
                <w:rFonts w:ascii="Times New Roman" w:hAnsi="Times New Roman"/>
              </w:rPr>
              <w:t>składania formularzy</w:t>
            </w:r>
            <w:r w:rsidRPr="002269DF">
              <w:rPr>
                <w:rFonts w:ascii="Times New Roman" w:hAnsi="Times New Roman"/>
              </w:rPr>
              <w:t xml:space="preserve"> dotyczących podatków i opłat lokalnych w drodze elektronicznej,</w:t>
            </w:r>
          </w:p>
          <w:p w14:paraId="3C1438FA" w14:textId="13D509E4" w:rsidR="00E57828" w:rsidRPr="002269DF" w:rsidRDefault="00E57828" w:rsidP="00D14C0D">
            <w:pPr>
              <w:numPr>
                <w:ilvl w:val="0"/>
                <w:numId w:val="9"/>
              </w:numPr>
              <w:spacing w:before="120" w:line="240" w:lineRule="auto"/>
              <w:contextualSpacing/>
              <w:jc w:val="both"/>
              <w:rPr>
                <w:rFonts w:ascii="Times New Roman" w:hAnsi="Times New Roman"/>
              </w:rPr>
            </w:pPr>
            <w:r w:rsidRPr="002269DF">
              <w:rPr>
                <w:rFonts w:ascii="Times New Roman" w:hAnsi="Times New Roman"/>
              </w:rPr>
              <w:lastRenderedPageBreak/>
              <w:t>umożliwienie podatnikom podatku od czynności cywilnoprawnych składania zbiorczej deklaracji oraz</w:t>
            </w:r>
            <w:r w:rsidR="000615BE">
              <w:rPr>
                <w:rFonts w:ascii="Times New Roman" w:hAnsi="Times New Roman"/>
              </w:rPr>
              <w:t> </w:t>
            </w:r>
            <w:r w:rsidRPr="002269DF">
              <w:rPr>
                <w:rFonts w:ascii="Times New Roman" w:hAnsi="Times New Roman"/>
              </w:rPr>
              <w:t>jednorazowej zapłaty podatku z tytułu wszystkich umów o jednorodnym charakterze, które zostały zawarte przez podatnika w okresie miesiąca</w:t>
            </w:r>
            <w:r w:rsidR="005113E5" w:rsidRPr="002269DF">
              <w:rPr>
                <w:rFonts w:ascii="Times New Roman" w:hAnsi="Times New Roman"/>
              </w:rPr>
              <w:t>,</w:t>
            </w:r>
          </w:p>
          <w:p w14:paraId="6EDAA1EA" w14:textId="77777777" w:rsidR="00F07F09" w:rsidRPr="002269DF" w:rsidRDefault="00F07F09" w:rsidP="008E6A9D">
            <w:pPr>
              <w:spacing w:before="120" w:line="240" w:lineRule="auto"/>
              <w:jc w:val="both"/>
              <w:rPr>
                <w:rFonts w:ascii="Times New Roman" w:hAnsi="Times New Roman"/>
                <w:b/>
              </w:rPr>
            </w:pPr>
            <w:r w:rsidRPr="002269DF">
              <w:rPr>
                <w:rFonts w:ascii="Times New Roman" w:hAnsi="Times New Roman"/>
                <w:b/>
              </w:rPr>
              <w:t>- w zakresie ustawy o rachunkowości</w:t>
            </w:r>
          </w:p>
          <w:p w14:paraId="548278B4" w14:textId="22AFCEB5" w:rsidR="00C31A18" w:rsidRDefault="00CC206B" w:rsidP="00D14C0D">
            <w:pPr>
              <w:numPr>
                <w:ilvl w:val="0"/>
                <w:numId w:val="11"/>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rozszerzenie katalogu jednostek mikro mogących stosować uproszczenia w sprawozdawczości finansowej o</w:t>
            </w:r>
            <w:r w:rsidR="000615BE">
              <w:rPr>
                <w:rFonts w:ascii="Times New Roman" w:hAnsi="Times New Roman"/>
                <w:bCs/>
              </w:rPr>
              <w:t> </w:t>
            </w:r>
            <w:r w:rsidRPr="002269DF">
              <w:rPr>
                <w:rFonts w:ascii="Times New Roman" w:hAnsi="Times New Roman"/>
                <w:bCs/>
              </w:rPr>
              <w:t>firmy prowadzone przez osoby fizyczne – próg przychodów o równowartości w walucie polskiej nie mniej niż</w:t>
            </w:r>
            <w:r w:rsidR="000615BE">
              <w:rPr>
                <w:rFonts w:ascii="Times New Roman" w:hAnsi="Times New Roman"/>
                <w:bCs/>
              </w:rPr>
              <w:t> </w:t>
            </w:r>
            <w:r w:rsidRPr="002269DF">
              <w:rPr>
                <w:rFonts w:ascii="Times New Roman" w:hAnsi="Times New Roman"/>
                <w:bCs/>
              </w:rPr>
              <w:t>2</w:t>
            </w:r>
            <w:r w:rsidR="002269DF">
              <w:rPr>
                <w:rFonts w:ascii="Times New Roman" w:hAnsi="Times New Roman"/>
                <w:bCs/>
              </w:rPr>
              <w:t> </w:t>
            </w:r>
            <w:r w:rsidRPr="002269DF">
              <w:rPr>
                <w:rFonts w:ascii="Times New Roman" w:hAnsi="Times New Roman"/>
                <w:bCs/>
              </w:rPr>
              <w:t>mln euro i nie więcej niż 3</w:t>
            </w:r>
            <w:r w:rsidR="002269DF">
              <w:rPr>
                <w:rFonts w:ascii="Times New Roman" w:hAnsi="Times New Roman"/>
                <w:bCs/>
              </w:rPr>
              <w:t> </w:t>
            </w:r>
            <w:r w:rsidRPr="002269DF">
              <w:rPr>
                <w:rFonts w:ascii="Times New Roman" w:hAnsi="Times New Roman"/>
                <w:bCs/>
              </w:rPr>
              <w:t>mln euro,</w:t>
            </w:r>
            <w:r w:rsidR="00A3018A" w:rsidRPr="002269DF">
              <w:rPr>
                <w:rFonts w:ascii="Times New Roman" w:hAnsi="Times New Roman"/>
                <w:bCs/>
              </w:rPr>
              <w:t xml:space="preserve"> </w:t>
            </w:r>
          </w:p>
          <w:p w14:paraId="1AAD5CA8" w14:textId="4980A369" w:rsidR="009D6713" w:rsidRPr="00AE21B3" w:rsidRDefault="009D6713" w:rsidP="00AE21B3">
            <w:pPr>
              <w:numPr>
                <w:ilvl w:val="0"/>
                <w:numId w:val="11"/>
              </w:numPr>
              <w:autoSpaceDE w:val="0"/>
              <w:autoSpaceDN w:val="0"/>
              <w:adjustRightInd w:val="0"/>
              <w:spacing w:before="120" w:line="240" w:lineRule="auto"/>
              <w:jc w:val="both"/>
              <w:rPr>
                <w:rFonts w:ascii="Times New Roman" w:hAnsi="Times New Roman"/>
                <w:bCs/>
              </w:rPr>
            </w:pPr>
            <w:r w:rsidRPr="00AE21B3">
              <w:rPr>
                <w:rFonts w:ascii="Times New Roman" w:hAnsi="Times New Roman"/>
                <w:bCs/>
              </w:rPr>
              <w:t xml:space="preserve">zwiększenie zakresu jednostek (objętych i nieobjętych dyrektywą </w:t>
            </w:r>
            <w:r w:rsidR="00AE21B3" w:rsidRPr="00AE21B3">
              <w:rPr>
                <w:rFonts w:ascii="Times New Roman" w:hAnsi="Times New Roman"/>
                <w:bCs/>
              </w:rPr>
              <w:t>Parlamentu Europejskiego i Rady 2013/34/UE z dnia 26 czerwca 2013 r.</w:t>
            </w:r>
            <w:r w:rsidR="00E66209">
              <w:rPr>
                <w:rFonts w:ascii="Times New Roman" w:hAnsi="Times New Roman"/>
                <w:bCs/>
              </w:rPr>
              <w:t xml:space="preserve"> </w:t>
            </w:r>
            <w:r w:rsidR="00AE21B3" w:rsidRPr="00AE21B3">
              <w:rPr>
                <w:rFonts w:ascii="Times New Roman" w:hAnsi="Times New Roman"/>
                <w:bCs/>
              </w:rPr>
              <w:t xml:space="preserve">w sprawie rocznych sprawozdań finansowych, skonsolidowanych sprawozdań finansowych i powiązanych sprawozdań niektórych rodzajów jednostek, zmieniająca dyrektywę Parlamentu Europejskiego i Rady 2006/43/WE oraz uchylająca dyrektywy Rady 78/660/EWG i 83/349/EWG, zwana dalej „dyrektywą </w:t>
            </w:r>
            <w:proofErr w:type="spellStart"/>
            <w:r w:rsidR="00AE21B3" w:rsidRPr="00AE21B3">
              <w:rPr>
                <w:rFonts w:ascii="Times New Roman" w:hAnsi="Times New Roman"/>
                <w:bCs/>
              </w:rPr>
              <w:t>ws</w:t>
            </w:r>
            <w:proofErr w:type="spellEnd"/>
            <w:r w:rsidR="00AE21B3" w:rsidRPr="00AE21B3">
              <w:rPr>
                <w:rFonts w:ascii="Times New Roman" w:hAnsi="Times New Roman"/>
                <w:bCs/>
              </w:rPr>
              <w:t>. rachunkowości”</w:t>
            </w:r>
            <w:r w:rsidRPr="00AE21B3">
              <w:rPr>
                <w:rFonts w:ascii="Times New Roman" w:hAnsi="Times New Roman"/>
                <w:bCs/>
              </w:rPr>
              <w:t xml:space="preserve">) mogących korzystać z uproszczeń dla małych jednostek poprzez podniesienie progów </w:t>
            </w:r>
            <w:r w:rsidR="00412163" w:rsidRPr="00AE21B3">
              <w:rPr>
                <w:rFonts w:ascii="Times New Roman" w:hAnsi="Times New Roman"/>
                <w:bCs/>
              </w:rPr>
              <w:t xml:space="preserve">dla tej kategorii jednostek </w:t>
            </w:r>
            <w:r w:rsidR="00C31A18" w:rsidRPr="00AE21B3">
              <w:rPr>
                <w:rFonts w:ascii="Times New Roman" w:hAnsi="Times New Roman"/>
                <w:bCs/>
              </w:rPr>
              <w:t>z 17 mln </w:t>
            </w:r>
            <w:r w:rsidR="00A341D2" w:rsidRPr="00AE21B3">
              <w:rPr>
                <w:rFonts w:ascii="Times New Roman" w:hAnsi="Times New Roman"/>
                <w:bCs/>
              </w:rPr>
              <w:t>zł na 25</w:t>
            </w:r>
            <w:r w:rsidR="00C31A18" w:rsidRPr="00AE21B3">
              <w:rPr>
                <w:rFonts w:ascii="Times New Roman" w:hAnsi="Times New Roman"/>
                <w:bCs/>
              </w:rPr>
              <w:t>,</w:t>
            </w:r>
            <w:r w:rsidR="00A341D2" w:rsidRPr="00AE21B3">
              <w:rPr>
                <w:rFonts w:ascii="Times New Roman" w:hAnsi="Times New Roman"/>
                <w:bCs/>
              </w:rPr>
              <w:t>5</w:t>
            </w:r>
            <w:r w:rsidR="00C31A18" w:rsidRPr="00AE21B3">
              <w:rPr>
                <w:rFonts w:ascii="Times New Roman" w:hAnsi="Times New Roman"/>
                <w:bCs/>
              </w:rPr>
              <w:t> mln </w:t>
            </w:r>
            <w:r w:rsidR="00A341D2" w:rsidRPr="00AE21B3">
              <w:rPr>
                <w:rFonts w:ascii="Times New Roman" w:hAnsi="Times New Roman"/>
                <w:bCs/>
              </w:rPr>
              <w:t>zł w przypadku sumy aktywów bilansu oraz</w:t>
            </w:r>
            <w:r w:rsidR="000615BE">
              <w:rPr>
                <w:rFonts w:ascii="Times New Roman" w:hAnsi="Times New Roman"/>
                <w:bCs/>
              </w:rPr>
              <w:t> </w:t>
            </w:r>
            <w:r w:rsidR="00A341D2" w:rsidRPr="00AE21B3">
              <w:rPr>
                <w:rFonts w:ascii="Times New Roman" w:hAnsi="Times New Roman"/>
                <w:bCs/>
              </w:rPr>
              <w:t>z</w:t>
            </w:r>
            <w:r w:rsidR="000615BE">
              <w:rPr>
                <w:rFonts w:ascii="Times New Roman" w:hAnsi="Times New Roman"/>
                <w:bCs/>
              </w:rPr>
              <w:t> </w:t>
            </w:r>
            <w:r w:rsidR="00A341D2" w:rsidRPr="00AE21B3">
              <w:rPr>
                <w:rFonts w:ascii="Times New Roman" w:hAnsi="Times New Roman"/>
                <w:bCs/>
              </w:rPr>
              <w:t>34 </w:t>
            </w:r>
            <w:r w:rsidR="00C31A18" w:rsidRPr="00AE21B3">
              <w:rPr>
                <w:rFonts w:ascii="Times New Roman" w:hAnsi="Times New Roman"/>
                <w:bCs/>
              </w:rPr>
              <w:t>mln </w:t>
            </w:r>
            <w:r w:rsidR="00A341D2" w:rsidRPr="00AE21B3">
              <w:rPr>
                <w:rFonts w:ascii="Times New Roman" w:hAnsi="Times New Roman"/>
                <w:bCs/>
              </w:rPr>
              <w:t>zł na 51</w:t>
            </w:r>
            <w:r w:rsidR="00C31A18" w:rsidRPr="00AE21B3">
              <w:rPr>
                <w:rFonts w:ascii="Times New Roman" w:hAnsi="Times New Roman"/>
                <w:bCs/>
              </w:rPr>
              <w:t> mln </w:t>
            </w:r>
            <w:r w:rsidR="00A341D2" w:rsidRPr="00AE21B3">
              <w:rPr>
                <w:rFonts w:ascii="Times New Roman" w:hAnsi="Times New Roman"/>
                <w:bCs/>
              </w:rPr>
              <w:t>zł w przypadku przychodów netto ze sprzedaży towarów i produktów</w:t>
            </w:r>
            <w:r w:rsidR="00412163" w:rsidRPr="00AE21B3">
              <w:rPr>
                <w:rFonts w:ascii="Times New Roman" w:hAnsi="Times New Roman"/>
                <w:bCs/>
              </w:rPr>
              <w:t>,</w:t>
            </w:r>
          </w:p>
          <w:p w14:paraId="07C84877" w14:textId="77777777" w:rsidR="009D6713" w:rsidRPr="002269DF" w:rsidRDefault="009D6713" w:rsidP="00D14C0D">
            <w:pPr>
              <w:numPr>
                <w:ilvl w:val="0"/>
                <w:numId w:val="11"/>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zwiększenia progów uprawniających jednostki do stosowania uproszczeń w ewidencji księgowej w zakresie:</w:t>
            </w:r>
          </w:p>
          <w:p w14:paraId="2990AFE2" w14:textId="77777777" w:rsidR="009D6713" w:rsidRPr="002269DF" w:rsidRDefault="009D6713" w:rsidP="00D14C0D">
            <w:pPr>
              <w:numPr>
                <w:ilvl w:val="1"/>
                <w:numId w:val="13"/>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klasyfikowania umów leasingu w sposób uproszczony, tj. według zasad określonych w przepisach podatkowych</w:t>
            </w:r>
          </w:p>
          <w:p w14:paraId="2EB842DA" w14:textId="77777777" w:rsidR="009D6713" w:rsidRPr="002269DF" w:rsidRDefault="009D6713" w:rsidP="00D14C0D">
            <w:pPr>
              <w:numPr>
                <w:ilvl w:val="1"/>
                <w:numId w:val="13"/>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stosowania uproszczonych zasad kalkulacji kosztu wytworzenia produktu,</w:t>
            </w:r>
          </w:p>
          <w:p w14:paraId="6DE95F30" w14:textId="77777777" w:rsidR="009D6713" w:rsidRPr="002269DF" w:rsidRDefault="009D6713" w:rsidP="00D14C0D">
            <w:pPr>
              <w:numPr>
                <w:ilvl w:val="1"/>
                <w:numId w:val="13"/>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niestosowania rozporządzenia Ministra Finansów w sprawie szczegółowych zasad uznawania, metod wyceny, zakresu ujawniania i sposobu prezentacji instrumentów finansowych,</w:t>
            </w:r>
          </w:p>
          <w:p w14:paraId="2CF5A4E8" w14:textId="77777777" w:rsidR="009D6713" w:rsidRDefault="009D6713" w:rsidP="00D14C0D">
            <w:pPr>
              <w:numPr>
                <w:ilvl w:val="1"/>
                <w:numId w:val="13"/>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odstąpienia od ustalania aktywów i tworzenia rezerw z tytułu odroczonego podatku dochodowego,</w:t>
            </w:r>
          </w:p>
          <w:p w14:paraId="66C4247B" w14:textId="04EFEB19" w:rsidR="00F07F09" w:rsidRPr="002269DF" w:rsidRDefault="00810C32" w:rsidP="00D14C0D">
            <w:pPr>
              <w:numPr>
                <w:ilvl w:val="0"/>
                <w:numId w:val="11"/>
              </w:numPr>
              <w:autoSpaceDE w:val="0"/>
              <w:autoSpaceDN w:val="0"/>
              <w:adjustRightInd w:val="0"/>
              <w:spacing w:before="120" w:line="240" w:lineRule="auto"/>
              <w:jc w:val="both"/>
              <w:rPr>
                <w:rFonts w:ascii="Times New Roman" w:hAnsi="Times New Roman"/>
                <w:bCs/>
              </w:rPr>
            </w:pPr>
            <w:r>
              <w:rPr>
                <w:rFonts w:ascii="Times New Roman" w:hAnsi="Times New Roman"/>
                <w:bCs/>
              </w:rPr>
              <w:t>Możliwość stosowania</w:t>
            </w:r>
            <w:r w:rsidRPr="0046095A">
              <w:rPr>
                <w:rFonts w:ascii="Times New Roman" w:hAnsi="Times New Roman"/>
                <w:bCs/>
              </w:rPr>
              <w:t xml:space="preserve"> wskazanych uproszczeń</w:t>
            </w:r>
            <w:r>
              <w:rPr>
                <w:rFonts w:ascii="Times New Roman" w:hAnsi="Times New Roman"/>
                <w:bCs/>
              </w:rPr>
              <w:t xml:space="preserve"> w ewidencji księgowej będzie dotyczyć określonych w</w:t>
            </w:r>
            <w:r w:rsidR="000615BE">
              <w:rPr>
                <w:rFonts w:ascii="Times New Roman" w:hAnsi="Times New Roman"/>
                <w:bCs/>
              </w:rPr>
              <w:t> </w:t>
            </w:r>
            <w:r>
              <w:rPr>
                <w:rFonts w:ascii="Times New Roman" w:hAnsi="Times New Roman"/>
                <w:bCs/>
              </w:rPr>
              <w:t xml:space="preserve">przepisach </w:t>
            </w:r>
            <w:r w:rsidRPr="0046095A">
              <w:rPr>
                <w:rFonts w:ascii="Times New Roman" w:hAnsi="Times New Roman"/>
                <w:bCs/>
              </w:rPr>
              <w:t>jednostek, które za poprzedni  rok obrotowy nie przekroczyły co naj</w:t>
            </w:r>
            <w:r>
              <w:rPr>
                <w:rFonts w:ascii="Times New Roman" w:hAnsi="Times New Roman"/>
                <w:bCs/>
              </w:rPr>
              <w:t xml:space="preserve">mniej dwóch z trzech wielkości: </w:t>
            </w:r>
            <w:r w:rsidRPr="0046095A">
              <w:rPr>
                <w:rFonts w:ascii="Times New Roman" w:hAnsi="Times New Roman"/>
                <w:bCs/>
              </w:rPr>
              <w:t>25 500 000 zł – suma aktywów, 51 000 000 zł – przychody netto ze sprzedaży towarów i produktów za rok obrotowy, 50 osób-  średnioroczne zatrudnieni</w:t>
            </w:r>
            <w:r w:rsidR="000615BE">
              <w:rPr>
                <w:rFonts w:ascii="Times New Roman" w:hAnsi="Times New Roman"/>
                <w:bCs/>
              </w:rPr>
              <w:t xml:space="preserve">e w przeliczeniu na pełne etaty, </w:t>
            </w:r>
            <w:r w:rsidR="00F07F09" w:rsidRPr="002269DF">
              <w:rPr>
                <w:rFonts w:ascii="Times New Roman" w:hAnsi="Times New Roman"/>
                <w:bCs/>
              </w:rPr>
              <w:t xml:space="preserve">wprowadzenie możliwości odstąpienia przez </w:t>
            </w:r>
            <w:r w:rsidR="00412163" w:rsidRPr="002269DF">
              <w:rPr>
                <w:rFonts w:ascii="Times New Roman" w:hAnsi="Times New Roman"/>
                <w:bCs/>
              </w:rPr>
              <w:t>jednostki mikro, jednostki małe, określone organizacje pozarządowe (w tym fundacje i</w:t>
            </w:r>
            <w:r w:rsidR="000615BE">
              <w:rPr>
                <w:rFonts w:ascii="Times New Roman" w:hAnsi="Times New Roman"/>
                <w:bCs/>
              </w:rPr>
              <w:t> </w:t>
            </w:r>
            <w:r w:rsidR="00412163" w:rsidRPr="002269DF">
              <w:rPr>
                <w:rFonts w:ascii="Times New Roman" w:hAnsi="Times New Roman"/>
                <w:bCs/>
              </w:rPr>
              <w:t>stowarzyszenia), z wyłączeniem spółek objętych dyrektyw</w:t>
            </w:r>
            <w:r w:rsidR="00BC4757" w:rsidRPr="002269DF">
              <w:rPr>
                <w:rFonts w:ascii="Times New Roman" w:hAnsi="Times New Roman"/>
                <w:bCs/>
              </w:rPr>
              <w:t>ą</w:t>
            </w:r>
            <w:r w:rsidR="00412163" w:rsidRPr="002269DF">
              <w:rPr>
                <w:rFonts w:ascii="Times New Roman" w:hAnsi="Times New Roman"/>
                <w:bCs/>
              </w:rPr>
              <w:t xml:space="preserve"> </w:t>
            </w:r>
            <w:proofErr w:type="spellStart"/>
            <w:r w:rsidR="00412163" w:rsidRPr="002269DF">
              <w:rPr>
                <w:rFonts w:ascii="Times New Roman" w:hAnsi="Times New Roman"/>
                <w:bCs/>
              </w:rPr>
              <w:t>ws</w:t>
            </w:r>
            <w:proofErr w:type="spellEnd"/>
            <w:r w:rsidR="00412163" w:rsidRPr="002269DF">
              <w:rPr>
                <w:rFonts w:ascii="Times New Roman" w:hAnsi="Times New Roman"/>
                <w:bCs/>
              </w:rPr>
              <w:t>. rachunkowości (np. spółek kapitałowych)</w:t>
            </w:r>
            <w:r w:rsidR="00BC4757" w:rsidRPr="002269DF">
              <w:rPr>
                <w:rFonts w:ascii="Times New Roman" w:hAnsi="Times New Roman"/>
                <w:bCs/>
              </w:rPr>
              <w:t>,</w:t>
            </w:r>
            <w:r w:rsidR="00412163" w:rsidRPr="002269DF">
              <w:rPr>
                <w:rFonts w:ascii="Times New Roman" w:hAnsi="Times New Roman"/>
                <w:bCs/>
              </w:rPr>
              <w:t xml:space="preserve"> </w:t>
            </w:r>
            <w:r w:rsidR="00F07F09" w:rsidRPr="002269DF">
              <w:rPr>
                <w:rFonts w:ascii="Times New Roman" w:hAnsi="Times New Roman"/>
                <w:bCs/>
              </w:rPr>
              <w:t>od</w:t>
            </w:r>
            <w:r w:rsidR="000615BE">
              <w:rPr>
                <w:rFonts w:ascii="Times New Roman" w:hAnsi="Times New Roman"/>
                <w:bCs/>
              </w:rPr>
              <w:t> </w:t>
            </w:r>
            <w:r w:rsidR="00F07F09" w:rsidRPr="002269DF">
              <w:rPr>
                <w:rFonts w:ascii="Times New Roman" w:hAnsi="Times New Roman"/>
                <w:bCs/>
              </w:rPr>
              <w:t>tworzenia rezerw na zobowiązania i odpisów aktualizujących wartość aktywów,</w:t>
            </w:r>
          </w:p>
          <w:p w14:paraId="0DB87879" w14:textId="34BB6595" w:rsidR="00F07F09" w:rsidRPr="002269DF" w:rsidRDefault="00F07F09" w:rsidP="00D14C0D">
            <w:pPr>
              <w:numPr>
                <w:ilvl w:val="0"/>
                <w:numId w:val="11"/>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 xml:space="preserve">wprowadzenia możliwości stosowania przez określoną grupę jednostek </w:t>
            </w:r>
            <w:r w:rsidR="00E23698" w:rsidRPr="002269DF">
              <w:rPr>
                <w:rFonts w:ascii="Times New Roman" w:hAnsi="Times New Roman"/>
                <w:bCs/>
              </w:rPr>
              <w:t xml:space="preserve">wymienioną w punkcie 4 </w:t>
            </w:r>
            <w:r w:rsidRPr="002269DF">
              <w:rPr>
                <w:rFonts w:ascii="Times New Roman" w:hAnsi="Times New Roman"/>
                <w:bCs/>
              </w:rPr>
              <w:t>przepisów podatkowych w zakresie amortyzacji środków trwałych oraz wartości niematerialnych i prawnych do</w:t>
            </w:r>
            <w:r w:rsidR="000615BE">
              <w:rPr>
                <w:rFonts w:ascii="Times New Roman" w:hAnsi="Times New Roman"/>
                <w:bCs/>
              </w:rPr>
              <w:t> </w:t>
            </w:r>
            <w:r w:rsidRPr="002269DF">
              <w:rPr>
                <w:rFonts w:ascii="Times New Roman" w:hAnsi="Times New Roman"/>
                <w:bCs/>
              </w:rPr>
              <w:t>prowadzenia ksiąg rachunkowych i sprawozdawczości finansowej,</w:t>
            </w:r>
          </w:p>
          <w:p w14:paraId="78F2821C" w14:textId="569F85E1" w:rsidR="00F07F09" w:rsidRPr="002269DF" w:rsidRDefault="00F07F09" w:rsidP="00D14C0D">
            <w:pPr>
              <w:numPr>
                <w:ilvl w:val="0"/>
                <w:numId w:val="11"/>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 xml:space="preserve">wprowadzenie możliwości nietworzenia przez określoną grupę jednostek </w:t>
            </w:r>
            <w:r w:rsidR="00E23698" w:rsidRPr="002269DF">
              <w:rPr>
                <w:rFonts w:ascii="Times New Roman" w:hAnsi="Times New Roman"/>
                <w:bCs/>
              </w:rPr>
              <w:t xml:space="preserve">wymienioną w punkcie 4 </w:t>
            </w:r>
            <w:r w:rsidRPr="002269DF">
              <w:rPr>
                <w:rFonts w:ascii="Times New Roman" w:hAnsi="Times New Roman"/>
                <w:bCs/>
              </w:rPr>
              <w:t>biernych rozliczeń międzyokresowych kosztów dotyczących przyszłych świadczeń na rzecz pracowników, w</w:t>
            </w:r>
            <w:r w:rsidR="000615BE">
              <w:rPr>
                <w:rFonts w:ascii="Times New Roman" w:hAnsi="Times New Roman"/>
                <w:bCs/>
              </w:rPr>
              <w:t> </w:t>
            </w:r>
            <w:r w:rsidRPr="002269DF">
              <w:rPr>
                <w:rFonts w:ascii="Times New Roman" w:hAnsi="Times New Roman"/>
                <w:bCs/>
              </w:rPr>
              <w:t>tym</w:t>
            </w:r>
            <w:r w:rsidR="000615BE">
              <w:rPr>
                <w:rFonts w:ascii="Times New Roman" w:hAnsi="Times New Roman"/>
                <w:bCs/>
              </w:rPr>
              <w:t> </w:t>
            </w:r>
            <w:r w:rsidRPr="002269DF">
              <w:rPr>
                <w:rFonts w:ascii="Times New Roman" w:hAnsi="Times New Roman"/>
                <w:bCs/>
              </w:rPr>
              <w:t>świadczeń emerytalnych,</w:t>
            </w:r>
          </w:p>
          <w:p w14:paraId="0A76694E" w14:textId="77777777" w:rsidR="00F07F09" w:rsidRPr="002269DF" w:rsidRDefault="00F07F09" w:rsidP="00D14C0D">
            <w:pPr>
              <w:numPr>
                <w:ilvl w:val="0"/>
                <w:numId w:val="11"/>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skrócenie okresu obowiązkowego przechowywania zatwierdzonych sprawozdań finansowych z trwałego</w:t>
            </w:r>
            <w:r w:rsidR="00A341D2" w:rsidRPr="002269DF">
              <w:rPr>
                <w:rFonts w:ascii="Times New Roman" w:hAnsi="Times New Roman"/>
                <w:bCs/>
              </w:rPr>
              <w:t xml:space="preserve"> (bezterminowego)</w:t>
            </w:r>
            <w:r w:rsidRPr="002269DF">
              <w:rPr>
                <w:rFonts w:ascii="Times New Roman" w:hAnsi="Times New Roman"/>
                <w:bCs/>
              </w:rPr>
              <w:t xml:space="preserve"> przechowywania do 5 lat,</w:t>
            </w:r>
          </w:p>
          <w:p w14:paraId="7BB295FF" w14:textId="77777777" w:rsidR="00F07F09" w:rsidRPr="002269DF" w:rsidRDefault="00F07F09" w:rsidP="008E6A9D">
            <w:pPr>
              <w:spacing w:before="120" w:line="240" w:lineRule="auto"/>
              <w:jc w:val="both"/>
              <w:rPr>
                <w:rFonts w:ascii="Times New Roman" w:hAnsi="Times New Roman"/>
                <w:b/>
              </w:rPr>
            </w:pPr>
            <w:r w:rsidRPr="002269DF">
              <w:rPr>
                <w:rFonts w:ascii="Times New Roman" w:hAnsi="Times New Roman"/>
                <w:b/>
              </w:rPr>
              <w:t>- w zakresie ustawy – Ordynacja podatkowa</w:t>
            </w:r>
          </w:p>
          <w:p w14:paraId="0D314E7A" w14:textId="6C5F6742" w:rsidR="00BC4757" w:rsidRPr="002269DF" w:rsidRDefault="00BC4757" w:rsidP="00D14C0D">
            <w:pPr>
              <w:numPr>
                <w:ilvl w:val="0"/>
                <w:numId w:val="12"/>
              </w:numPr>
              <w:spacing w:before="120" w:line="240" w:lineRule="auto"/>
              <w:jc w:val="both"/>
              <w:rPr>
                <w:rFonts w:ascii="Times New Roman" w:hAnsi="Times New Roman"/>
              </w:rPr>
            </w:pPr>
            <w:r w:rsidRPr="002269DF">
              <w:rPr>
                <w:rFonts w:ascii="Times New Roman" w:hAnsi="Times New Roman"/>
              </w:rPr>
              <w:t>wprowadzenie obowiązku wydania przez ministra właściwego do spraw finansów publicznych interpretacji ogólnej w przypadku, gdy zostanie wydana interpretacja indywidualna uwzględniająca wyrok Naczelnego Sądu Administracyjnego i zawierająca stanowisko rozbieżne z dotychczas wydawanymi interpretacjam</w:t>
            </w:r>
            <w:r w:rsidR="007850A6" w:rsidRPr="002269DF">
              <w:rPr>
                <w:rFonts w:ascii="Times New Roman" w:hAnsi="Times New Roman"/>
              </w:rPr>
              <w:t>i indywidualnymi</w:t>
            </w:r>
            <w:r w:rsidRPr="002269DF">
              <w:rPr>
                <w:rFonts w:ascii="Times New Roman" w:hAnsi="Times New Roman"/>
              </w:rPr>
              <w:t xml:space="preserve">; propozycja spowoduje, w sytuacji </w:t>
            </w:r>
            <w:r w:rsidR="007850A6" w:rsidRPr="002269DF">
              <w:rPr>
                <w:rFonts w:ascii="Times New Roman" w:hAnsi="Times New Roman"/>
              </w:rPr>
              <w:t xml:space="preserve">wystąpienia </w:t>
            </w:r>
            <w:r w:rsidRPr="002269DF">
              <w:rPr>
                <w:rFonts w:ascii="Times New Roman" w:hAnsi="Times New Roman"/>
              </w:rPr>
              <w:t>rozbieżności w orzecznictwie sądowym i</w:t>
            </w:r>
            <w:r w:rsidR="001A4089" w:rsidRPr="002269DF">
              <w:rPr>
                <w:rFonts w:ascii="Times New Roman" w:hAnsi="Times New Roman"/>
              </w:rPr>
              <w:t> </w:t>
            </w:r>
            <w:r w:rsidRPr="002269DF">
              <w:rPr>
                <w:rFonts w:ascii="Times New Roman" w:hAnsi="Times New Roman"/>
              </w:rPr>
              <w:t>będących ich odbiciem rozbieżności w interpretacjach wykonujących wyroki sądów, że minister właściwy do</w:t>
            </w:r>
            <w:r w:rsidR="000615BE">
              <w:rPr>
                <w:rFonts w:ascii="Times New Roman" w:hAnsi="Times New Roman"/>
              </w:rPr>
              <w:t> </w:t>
            </w:r>
            <w:r w:rsidRPr="002269DF">
              <w:rPr>
                <w:rFonts w:ascii="Times New Roman" w:hAnsi="Times New Roman"/>
              </w:rPr>
              <w:t>spraw finansów publicznych będzie zobligowany wyrazić swoje stanowisko w interpretacji ogólnej powszechnie znanej i dającej pełną ochronę wszystki</w:t>
            </w:r>
            <w:r w:rsidR="007850A6" w:rsidRPr="002269DF">
              <w:rPr>
                <w:rFonts w:ascii="Times New Roman" w:hAnsi="Times New Roman"/>
              </w:rPr>
              <w:t>m, którzy się do niej zastosują; skutkiem wprowadzenia regulacji będzie zwiększenie pewności</w:t>
            </w:r>
            <w:r w:rsidRPr="002269DF">
              <w:rPr>
                <w:rFonts w:ascii="Times New Roman" w:hAnsi="Times New Roman"/>
              </w:rPr>
              <w:t xml:space="preserve"> sytuacji podatkowej podatników,</w:t>
            </w:r>
          </w:p>
          <w:p w14:paraId="379C5518" w14:textId="3335D73D" w:rsidR="00BC4757" w:rsidRPr="002269DF" w:rsidRDefault="00BC4757" w:rsidP="00D14C0D">
            <w:pPr>
              <w:numPr>
                <w:ilvl w:val="0"/>
                <w:numId w:val="12"/>
              </w:numPr>
              <w:spacing w:before="120" w:line="240" w:lineRule="auto"/>
              <w:jc w:val="both"/>
              <w:rPr>
                <w:rFonts w:ascii="Times New Roman" w:hAnsi="Times New Roman"/>
              </w:rPr>
            </w:pPr>
            <w:r w:rsidRPr="002269DF">
              <w:rPr>
                <w:rFonts w:ascii="Times New Roman" w:hAnsi="Times New Roman"/>
              </w:rPr>
              <w:t>wprowadzenie obowiązku dołożenia starań ze strony organu podatkowego dokonującego wezwania, aby</w:t>
            </w:r>
            <w:r w:rsidR="000615BE">
              <w:rPr>
                <w:rFonts w:ascii="Times New Roman" w:hAnsi="Times New Roman"/>
              </w:rPr>
              <w:t> </w:t>
            </w:r>
            <w:r w:rsidRPr="002269DF">
              <w:rPr>
                <w:rFonts w:ascii="Times New Roman" w:hAnsi="Times New Roman"/>
              </w:rPr>
              <w:t>zadośćuczynienie wezwaniu nie było uciążliwe ma na celu ograniczenie obciążeń administracyjnych,</w:t>
            </w:r>
          </w:p>
          <w:p w14:paraId="03794B18" w14:textId="77777777" w:rsidR="00F07F09" w:rsidRPr="002269DF" w:rsidRDefault="00F07F09" w:rsidP="008E6A9D">
            <w:pPr>
              <w:spacing w:before="120" w:line="240" w:lineRule="auto"/>
              <w:jc w:val="both"/>
              <w:rPr>
                <w:rFonts w:ascii="Times New Roman" w:hAnsi="Times New Roman"/>
                <w:b/>
              </w:rPr>
            </w:pPr>
            <w:r w:rsidRPr="002269DF">
              <w:rPr>
                <w:rFonts w:ascii="Times New Roman" w:hAnsi="Times New Roman"/>
                <w:b/>
              </w:rPr>
              <w:t>- w zakresie prawa celnego</w:t>
            </w:r>
          </w:p>
          <w:p w14:paraId="5F42953C" w14:textId="77777777" w:rsidR="00F07F09" w:rsidRPr="002269DF" w:rsidRDefault="00F07F09" w:rsidP="008B3AA3">
            <w:pPr>
              <w:numPr>
                <w:ilvl w:val="0"/>
                <w:numId w:val="8"/>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uproszczenie procedury przy udzielaniu pozwoleń na procedury specjalne,</w:t>
            </w:r>
          </w:p>
          <w:p w14:paraId="1863FD82" w14:textId="77777777" w:rsidR="00F07F09" w:rsidRPr="002269DF" w:rsidRDefault="00F07F09" w:rsidP="008B3AA3">
            <w:pPr>
              <w:numPr>
                <w:ilvl w:val="0"/>
                <w:numId w:val="8"/>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określenie progu na poziomie 10 euro, od którego osoby zobowiązane będą ponosiły koszty zniszczenia towaru lub likwidacji w inny sposób oraz koszty związane z jego przechowywaniem,</w:t>
            </w:r>
          </w:p>
          <w:p w14:paraId="4F012E7B" w14:textId="77777777" w:rsidR="008E6A9D" w:rsidRPr="002269DF" w:rsidRDefault="008E6A9D" w:rsidP="008E6A9D">
            <w:pPr>
              <w:spacing w:before="120" w:line="240" w:lineRule="auto"/>
              <w:jc w:val="both"/>
              <w:rPr>
                <w:rFonts w:ascii="Times New Roman" w:hAnsi="Times New Roman"/>
                <w:b/>
              </w:rPr>
            </w:pPr>
            <w:r w:rsidRPr="002269DF">
              <w:rPr>
                <w:rFonts w:ascii="Times New Roman" w:hAnsi="Times New Roman"/>
                <w:b/>
              </w:rPr>
              <w:t>- w zakresie podatku akcyzowego</w:t>
            </w:r>
          </w:p>
          <w:p w14:paraId="7B60FEBE" w14:textId="77777777" w:rsidR="008E6A9D" w:rsidRPr="002269DF" w:rsidRDefault="008E6A9D" w:rsidP="008B3AA3">
            <w:pPr>
              <w:numPr>
                <w:ilvl w:val="0"/>
                <w:numId w:val="7"/>
              </w:numPr>
              <w:autoSpaceDE w:val="0"/>
              <w:autoSpaceDN w:val="0"/>
              <w:adjustRightInd w:val="0"/>
              <w:spacing w:before="120" w:line="240" w:lineRule="auto"/>
              <w:jc w:val="both"/>
              <w:rPr>
                <w:rFonts w:ascii="Times New Roman" w:hAnsi="Times New Roman"/>
                <w:b/>
                <w:bCs/>
              </w:rPr>
            </w:pPr>
            <w:r w:rsidRPr="002269DF">
              <w:rPr>
                <w:rFonts w:ascii="Times New Roman" w:hAnsi="Times New Roman"/>
                <w:bCs/>
              </w:rPr>
              <w:lastRenderedPageBreak/>
              <w:t>zastąpienie stosowanych w ustawie o podatku akcyzowym oraz w aktach wykonawczych do tej ustawy kodów Nomenklatury Scalonej (CN) – kodami CN stosowanymi zgodnie z obowiązującymi regulacjami prawa celnego w tym zakresie,</w:t>
            </w:r>
          </w:p>
          <w:p w14:paraId="5319CBF6" w14:textId="77777777" w:rsidR="008E6A9D" w:rsidRPr="002269DF" w:rsidRDefault="008E6A9D" w:rsidP="008B3AA3">
            <w:pPr>
              <w:numPr>
                <w:ilvl w:val="0"/>
                <w:numId w:val="7"/>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 xml:space="preserve">rezygnacja z obowiązku przekazywania przez podmiot wykorzystujący energię elektryczną do celów redukcji chemicznej, w procesach elektrolitycznych, metalurgicznych i mineralogicznych oświadczenia o ilości wykorzystanej energii i sposobie jej wykorzystania, każdego miesiąca do właściwego naczelnika urzędu </w:t>
            </w:r>
            <w:r w:rsidR="00582EC6" w:rsidRPr="002269DF">
              <w:rPr>
                <w:rFonts w:ascii="Times New Roman" w:hAnsi="Times New Roman"/>
                <w:bCs/>
              </w:rPr>
              <w:t>skarbowego;</w:t>
            </w:r>
          </w:p>
          <w:p w14:paraId="1FB28FD5" w14:textId="77777777" w:rsidR="00AE22A1" w:rsidRPr="002269DF" w:rsidRDefault="00E57828" w:rsidP="009E2907">
            <w:pPr>
              <w:spacing w:before="120" w:line="240" w:lineRule="auto"/>
              <w:jc w:val="both"/>
              <w:rPr>
                <w:rFonts w:ascii="Times New Roman" w:hAnsi="Times New Roman"/>
                <w:b/>
              </w:rPr>
            </w:pPr>
            <w:r w:rsidRPr="002269DF">
              <w:rPr>
                <w:rFonts w:ascii="Times New Roman" w:hAnsi="Times New Roman"/>
                <w:b/>
              </w:rPr>
              <w:t>- w zakresie podatku od towarów i usług</w:t>
            </w:r>
          </w:p>
          <w:p w14:paraId="2044B4B3" w14:textId="77777777" w:rsidR="00501D46" w:rsidRPr="002269DF" w:rsidRDefault="00F07F09" w:rsidP="008B3AA3">
            <w:pPr>
              <w:numPr>
                <w:ilvl w:val="0"/>
                <w:numId w:val="3"/>
              </w:numPr>
              <w:spacing w:before="120" w:line="240" w:lineRule="auto"/>
              <w:jc w:val="both"/>
              <w:rPr>
                <w:rFonts w:ascii="Times New Roman" w:hAnsi="Times New Roman"/>
              </w:rPr>
            </w:pPr>
            <w:r w:rsidRPr="002269DF">
              <w:rPr>
                <w:rFonts w:ascii="Times New Roman" w:hAnsi="Times New Roman"/>
              </w:rPr>
              <w:t>o</w:t>
            </w:r>
            <w:r w:rsidR="009A3B35" w:rsidRPr="002269DF">
              <w:rPr>
                <w:rFonts w:ascii="Times New Roman" w:hAnsi="Times New Roman"/>
              </w:rPr>
              <w:t>dstąpienie</w:t>
            </w:r>
            <w:r w:rsidR="00501D46" w:rsidRPr="002269DF">
              <w:rPr>
                <w:rFonts w:ascii="Times New Roman" w:hAnsi="Times New Roman"/>
              </w:rPr>
              <w:t xml:space="preserve"> od wymagania odrębnego składania wraz z deklaracją umotywowanego wniosku o zwrot podatku oraz wniosku o zwrot w przyspieszonym terminie</w:t>
            </w:r>
            <w:r w:rsidR="00077AEC" w:rsidRPr="002269DF">
              <w:rPr>
                <w:rFonts w:ascii="Times New Roman" w:hAnsi="Times New Roman"/>
              </w:rPr>
              <w:t>,</w:t>
            </w:r>
          </w:p>
          <w:p w14:paraId="06D4F419" w14:textId="77777777" w:rsidR="008D2F33" w:rsidRPr="002269DF" w:rsidRDefault="00F07F09" w:rsidP="008B3AA3">
            <w:pPr>
              <w:numPr>
                <w:ilvl w:val="0"/>
                <w:numId w:val="3"/>
              </w:numPr>
              <w:spacing w:before="120" w:line="240" w:lineRule="auto"/>
              <w:jc w:val="both"/>
              <w:rPr>
                <w:rFonts w:ascii="Times New Roman" w:hAnsi="Times New Roman"/>
                <w:spacing w:val="-2"/>
              </w:rPr>
            </w:pPr>
            <w:r w:rsidRPr="002269DF">
              <w:rPr>
                <w:rFonts w:ascii="Times New Roman" w:hAnsi="Times New Roman"/>
                <w:spacing w:val="-2"/>
              </w:rPr>
              <w:t>s</w:t>
            </w:r>
            <w:r w:rsidR="009A3B35" w:rsidRPr="002269DF">
              <w:rPr>
                <w:rFonts w:ascii="Times New Roman" w:hAnsi="Times New Roman"/>
                <w:spacing w:val="-2"/>
              </w:rPr>
              <w:t>krócenie terminu umożliwiającego wierzycielowi zastosowanie przepisów regulujących „ulgę na złe długi</w:t>
            </w:r>
            <w:r w:rsidR="00360008" w:rsidRPr="002269DF">
              <w:rPr>
                <w:rFonts w:ascii="Times New Roman" w:hAnsi="Times New Roman"/>
                <w:spacing w:val="-2"/>
              </w:rPr>
              <w:t>”, co </w:t>
            </w:r>
            <w:r w:rsidR="009A3B35" w:rsidRPr="002269DF">
              <w:rPr>
                <w:rFonts w:ascii="Times New Roman" w:hAnsi="Times New Roman"/>
                <w:spacing w:val="-2"/>
              </w:rPr>
              <w:t xml:space="preserve">spowoduje zmniejszenie zobowiązania w podatku poprawiając tym samym kondycję finansową przedsiębiorców </w:t>
            </w:r>
            <w:r w:rsidR="006202CB" w:rsidRPr="002269DF">
              <w:rPr>
                <w:rFonts w:ascii="Times New Roman" w:hAnsi="Times New Roman"/>
                <w:spacing w:val="-2"/>
              </w:rPr>
              <w:br/>
            </w:r>
            <w:r w:rsidR="009A3B35" w:rsidRPr="002269DF">
              <w:rPr>
                <w:rFonts w:ascii="Times New Roman" w:hAnsi="Times New Roman"/>
                <w:spacing w:val="-2"/>
              </w:rPr>
              <w:t>i</w:t>
            </w:r>
            <w:r w:rsidR="008D2F33" w:rsidRPr="002269DF">
              <w:rPr>
                <w:rFonts w:ascii="Times New Roman" w:hAnsi="Times New Roman"/>
                <w:spacing w:val="-2"/>
              </w:rPr>
              <w:t xml:space="preserve"> zmniejszenie zatorów płatniczych w obrocie gospodarczym</w:t>
            </w:r>
            <w:r w:rsidR="00077AEC" w:rsidRPr="002269DF">
              <w:rPr>
                <w:rFonts w:ascii="Times New Roman" w:hAnsi="Times New Roman"/>
                <w:spacing w:val="-2"/>
              </w:rPr>
              <w:t>,</w:t>
            </w:r>
            <w:r w:rsidR="008D2F33" w:rsidRPr="002269DF">
              <w:rPr>
                <w:rFonts w:ascii="Times New Roman" w:hAnsi="Times New Roman"/>
                <w:spacing w:val="-2"/>
              </w:rPr>
              <w:t xml:space="preserve"> </w:t>
            </w:r>
          </w:p>
          <w:p w14:paraId="32A517FC" w14:textId="77777777" w:rsidR="00EC43D8" w:rsidRPr="002269DF" w:rsidRDefault="00F07F09" w:rsidP="008B3AA3">
            <w:pPr>
              <w:numPr>
                <w:ilvl w:val="0"/>
                <w:numId w:val="3"/>
              </w:numPr>
              <w:spacing w:before="120" w:line="240" w:lineRule="auto"/>
              <w:jc w:val="both"/>
              <w:rPr>
                <w:rFonts w:ascii="Times New Roman" w:hAnsi="Times New Roman"/>
              </w:rPr>
            </w:pPr>
            <w:r w:rsidRPr="002269DF">
              <w:rPr>
                <w:rFonts w:ascii="Times New Roman" w:hAnsi="Times New Roman"/>
              </w:rPr>
              <w:t>o</w:t>
            </w:r>
            <w:r w:rsidR="00442FDC" w:rsidRPr="002269DF">
              <w:rPr>
                <w:rFonts w:ascii="Times New Roman" w:hAnsi="Times New Roman"/>
              </w:rPr>
              <w:t>bniżenie limitu obr</w:t>
            </w:r>
            <w:r w:rsidR="007719CB" w:rsidRPr="002269DF">
              <w:rPr>
                <w:rFonts w:ascii="Times New Roman" w:hAnsi="Times New Roman"/>
              </w:rPr>
              <w:t>otu sprzedaży do 200 tys. zł</w:t>
            </w:r>
            <w:r w:rsidR="00442FDC" w:rsidRPr="002269DF">
              <w:rPr>
                <w:rFonts w:ascii="Times New Roman" w:hAnsi="Times New Roman"/>
              </w:rPr>
              <w:t xml:space="preserve"> może wpłynąć na wzrost liczby podatników samodzielnie dokonujących zwrotu podatku VAT podróżnym</w:t>
            </w:r>
            <w:r w:rsidR="00115304" w:rsidRPr="002269DF">
              <w:rPr>
                <w:rFonts w:ascii="Times New Roman" w:hAnsi="Times New Roman"/>
              </w:rPr>
              <w:t xml:space="preserve"> w systemie TAX FREE</w:t>
            </w:r>
            <w:r w:rsidR="00442FDC" w:rsidRPr="002269DF">
              <w:rPr>
                <w:rFonts w:ascii="Times New Roman" w:hAnsi="Times New Roman"/>
              </w:rPr>
              <w:t>, jak również może skutkować zwiększeniem liczby przedsiębiorców uczestniczących</w:t>
            </w:r>
            <w:r w:rsidR="00115304" w:rsidRPr="002269DF">
              <w:rPr>
                <w:rFonts w:ascii="Times New Roman" w:hAnsi="Times New Roman"/>
              </w:rPr>
              <w:t xml:space="preserve"> w tym systemie</w:t>
            </w:r>
            <w:r w:rsidR="00EC43D8" w:rsidRPr="002269DF">
              <w:rPr>
                <w:rFonts w:ascii="Times New Roman" w:hAnsi="Times New Roman"/>
              </w:rPr>
              <w:t>,</w:t>
            </w:r>
          </w:p>
          <w:p w14:paraId="4A05B213" w14:textId="77777777" w:rsidR="00331002" w:rsidRPr="002269DF" w:rsidRDefault="00331002" w:rsidP="00331002">
            <w:pPr>
              <w:spacing w:before="120" w:line="240" w:lineRule="auto"/>
              <w:jc w:val="both"/>
              <w:rPr>
                <w:rFonts w:ascii="Times New Roman" w:hAnsi="Times New Roman"/>
                <w:b/>
              </w:rPr>
            </w:pPr>
            <w:r w:rsidRPr="002269DF">
              <w:rPr>
                <w:rFonts w:ascii="Times New Roman" w:hAnsi="Times New Roman"/>
                <w:b/>
              </w:rPr>
              <w:t>- w zakresie prawa handlowego:</w:t>
            </w:r>
          </w:p>
          <w:p w14:paraId="578D583F" w14:textId="77777777" w:rsidR="00331002" w:rsidRPr="002269DF" w:rsidRDefault="00331002" w:rsidP="00331002">
            <w:pPr>
              <w:spacing w:before="120" w:line="240" w:lineRule="auto"/>
              <w:jc w:val="both"/>
              <w:rPr>
                <w:rFonts w:ascii="Times New Roman" w:hAnsi="Times New Roman"/>
                <w:b/>
              </w:rPr>
            </w:pPr>
            <w:r w:rsidRPr="002269DF">
              <w:rPr>
                <w:rFonts w:ascii="Times New Roman" w:hAnsi="Times New Roman"/>
                <w:b/>
              </w:rPr>
              <w:t xml:space="preserve"> </w:t>
            </w:r>
            <w:r w:rsidR="00A86D2D" w:rsidRPr="002269DF">
              <w:rPr>
                <w:rFonts w:ascii="Times New Roman" w:hAnsi="Times New Roman"/>
                <w:b/>
              </w:rPr>
              <w:t>n</w:t>
            </w:r>
            <w:r w:rsidRPr="002269DF">
              <w:rPr>
                <w:rFonts w:ascii="Times New Roman" w:hAnsi="Times New Roman"/>
                <w:b/>
              </w:rPr>
              <w:t>ieprecyzyjność przepisów</w:t>
            </w:r>
          </w:p>
          <w:p w14:paraId="647F5575" w14:textId="77777777"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jednoznaczne wskazanie komu i w jaki sposób członkowie zarządu spółki kapitałowej powinni składać oświadczenie o swojej rezygnacji;</w:t>
            </w:r>
          </w:p>
          <w:p w14:paraId="03FE4AEA" w14:textId="77777777" w:rsidR="00331002" w:rsidRPr="002269DF" w:rsidRDefault="00331002" w:rsidP="00331002">
            <w:pPr>
              <w:spacing w:before="120" w:line="240" w:lineRule="auto"/>
              <w:ind w:left="34"/>
              <w:jc w:val="both"/>
              <w:rPr>
                <w:rFonts w:ascii="Times New Roman" w:hAnsi="Times New Roman"/>
              </w:rPr>
            </w:pPr>
            <w:r w:rsidRPr="002269DF">
              <w:rPr>
                <w:rFonts w:ascii="Times New Roman" w:hAnsi="Times New Roman"/>
              </w:rPr>
              <w:t>W obecnym stanie prawnym nie funkcjonuje jednolita praktyka w przedmiotowym zakresie. Projektodawca proponuje implementować rozwiązanie zawarte w uchwale SN z 31 marca 2016 r., sygn. III CZP 89/15, dostosowując je do potrzeb obrotu gospodarczego. W ocenie projektodawcy szczególnego uregulowania wymaga procedura składania oświadczeń o rezygnacji przez jedynego członka zarządu lub wszystkich członków zarządu jednocześnie. Służyć temu ma obowiązek informowania przez byłego członka zarządu sądu rejestrowego o złożeniu rezygnacji. Sąd rejestrowy, zgodnie z projektem ustawy o zmianie ustawy o Krajowym Rejestrze Sądowym oraz niektórych innych ustaw (UA 27), będzie wyposażony w środki mające na celu wymuszenie obsadzenia organu, np. w trybie postępowania przymuszającego.</w:t>
            </w:r>
          </w:p>
          <w:p w14:paraId="4D8CAB94" w14:textId="77777777"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jednoznaczne wskazanie komu i w jaki sposób członkowie rady nadzorczej powinni składać oświadczenie o swojej rezygnacji;</w:t>
            </w:r>
          </w:p>
          <w:p w14:paraId="289F2BED" w14:textId="77777777"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W obecnym stanie prawnym nie funkcjonuje jednolita praktyka w przedmiotowym zakresie. Projektodawca proponuje implementować rozwiązanie zawarte w uchwale SN z 31 marca 2016 r., sygn. III CZP 89/15, zgodnie z którym, członek rady nadzorczej składa oświadczenie o rezygnacji spółce.</w:t>
            </w:r>
          </w:p>
          <w:p w14:paraId="7D64F0CB" w14:textId="77777777"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uregulowanie skutków nabycia (objęcia) udziału (lub akcji) ze środków pochodzących z majątku wspólnego, w sytuacji gdy stroną czynności prawnej jest tylko jeden z małżonków;</w:t>
            </w:r>
          </w:p>
          <w:p w14:paraId="2476A9D0" w14:textId="0B9C5D15"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Skutki prawne nabycia udziałów przez jednego z małżonków dokonane w czasie trwania małżeństwa, w zamian za</w:t>
            </w:r>
            <w:r w:rsidR="000615BE">
              <w:rPr>
                <w:rFonts w:ascii="Times New Roman" w:hAnsi="Times New Roman"/>
              </w:rPr>
              <w:t> </w:t>
            </w:r>
            <w:r w:rsidRPr="002269DF">
              <w:rPr>
                <w:rFonts w:ascii="Times New Roman" w:hAnsi="Times New Roman"/>
              </w:rPr>
              <w:t>składniki z majątku wspólnego, są przedmiotem kontrowersji w doktrynie i orzecznictwie. Proponowane rozwiązanie ma jednoznacznie kształtować skutki prawne takiej czynności, zarówno w sferze stosunków między małżonkami, jak</w:t>
            </w:r>
            <w:r w:rsidR="000615BE">
              <w:rPr>
                <w:rFonts w:ascii="Times New Roman" w:hAnsi="Times New Roman"/>
              </w:rPr>
              <w:t> </w:t>
            </w:r>
            <w:r w:rsidRPr="002269DF">
              <w:rPr>
                <w:rFonts w:ascii="Times New Roman" w:hAnsi="Times New Roman"/>
              </w:rPr>
              <w:t xml:space="preserve">również między małżonkami a spółką. </w:t>
            </w:r>
          </w:p>
          <w:p w14:paraId="775D5305" w14:textId="77777777"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doprecyzowanie zasad reprezentacji spółki w likwidacji;</w:t>
            </w:r>
          </w:p>
          <w:p w14:paraId="5246EB70" w14:textId="77777777"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Brak jednoznacznego uregulowania tej kwestii przez ustawodawcę (por. art. 75 KSH). Proponowane rozwiązanie wprowadza obowiązek wskazania sposobu reprezentacji wspólnikom, dając jednocześnie swobodę w zakresie ukształtowania przedmiotowej kwestii.</w:t>
            </w:r>
          </w:p>
          <w:p w14:paraId="05C31503" w14:textId="3D8A7F8E"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doprecyzowanie skutków czynności prawnej dokonanej albo przez rzekomy organ osoby prawnej albo przez</w:t>
            </w:r>
            <w:r w:rsidR="000615BE">
              <w:rPr>
                <w:rFonts w:ascii="Times New Roman" w:hAnsi="Times New Roman"/>
              </w:rPr>
              <w:t> </w:t>
            </w:r>
            <w:r w:rsidRPr="002269DF">
              <w:rPr>
                <w:rFonts w:ascii="Times New Roman" w:hAnsi="Times New Roman"/>
              </w:rPr>
              <w:t xml:space="preserve">organ osoby prawnej, lecz z przekroczeniem umocowania; </w:t>
            </w:r>
          </w:p>
          <w:p w14:paraId="2809C818" w14:textId="77777777"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 xml:space="preserve">Problematyka dopuszczalności potwierdzenia czynności dokonanej przez rzekomy organ jest przedmiotem kontrowersji w doktrynie i orzecznictwie od długiego czasu. Proponowane rozwiązanie ma na celu realizację postulatów części doktryny, poprzez implementowanie dorobku orzeczniczego Sądu Najwyższego w tym zakresie. </w:t>
            </w:r>
          </w:p>
          <w:p w14:paraId="1A4DF672" w14:textId="77777777"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doprecyzowanie pojęcia „dnia dywidendy” w odniesieniu do spółek z ograniczoną odpowiedzialnością;</w:t>
            </w:r>
          </w:p>
          <w:p w14:paraId="3BF42FF5" w14:textId="4A8D35B1"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W obowiązującym stanie prawnym nie funkcjonuje mechanizm gwarantujący wskazanie dnia wypłaty w przypadku, gdy</w:t>
            </w:r>
            <w:r w:rsidR="000615BE">
              <w:rPr>
                <w:rFonts w:ascii="Times New Roman" w:hAnsi="Times New Roman"/>
              </w:rPr>
              <w:t> </w:t>
            </w:r>
            <w:r w:rsidRPr="002269DF">
              <w:rPr>
                <w:rFonts w:ascii="Times New Roman" w:hAnsi="Times New Roman"/>
              </w:rPr>
              <w:t xml:space="preserve">dywidenda została przeznaczona do wypłaty. W ocenie projektodawcy proponowana regulacja przyczyni się </w:t>
            </w:r>
            <w:r w:rsidRPr="002269DF">
              <w:rPr>
                <w:rFonts w:ascii="Times New Roman" w:hAnsi="Times New Roman"/>
              </w:rPr>
              <w:lastRenderedPageBreak/>
              <w:t>do</w:t>
            </w:r>
            <w:r w:rsidR="000615BE">
              <w:rPr>
                <w:rFonts w:ascii="Times New Roman" w:hAnsi="Times New Roman"/>
              </w:rPr>
              <w:t> </w:t>
            </w:r>
            <w:r w:rsidRPr="002269DF">
              <w:rPr>
                <w:rFonts w:ascii="Times New Roman" w:hAnsi="Times New Roman"/>
              </w:rPr>
              <w:t>polepszenia ochrony wspólników w zakresie realizacji swoich praw udziałowych.</w:t>
            </w:r>
          </w:p>
          <w:p w14:paraId="21E09ADB" w14:textId="77777777"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doprecyzowanie reguł zmiany umowy spółki z o.o. w organizacji;</w:t>
            </w:r>
          </w:p>
          <w:p w14:paraId="40A176A9" w14:textId="77777777"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W praktyce obrotu kontrowersje budzi kwestia sposobu zmiany umowy spółki z o.o. w organizacji. W ocenie projektodawcy jednoznaczne rozstrzygnięcie przedmiotowej kwestii korzystnie wpłynie na praktykę obrotu, usuwając niepewność w tym zakresie.</w:t>
            </w:r>
          </w:p>
          <w:p w14:paraId="0D520697" w14:textId="79A89EC0"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 xml:space="preserve">doprecyzowanie kwestii reguł zwrotu przez wspólników zaliczek wypłaconych w poczet dywidendy w sytuacji, w której spółka  w </w:t>
            </w:r>
            <w:r w:rsidR="005F0151">
              <w:rPr>
                <w:rFonts w:ascii="Times New Roman" w:hAnsi="Times New Roman"/>
              </w:rPr>
              <w:t xml:space="preserve">danym </w:t>
            </w:r>
            <w:r w:rsidRPr="002269DF">
              <w:rPr>
                <w:rFonts w:ascii="Times New Roman" w:hAnsi="Times New Roman"/>
              </w:rPr>
              <w:t xml:space="preserve">roku obrotowym poniosła </w:t>
            </w:r>
            <w:r w:rsidR="00CE00BC" w:rsidRPr="002269DF">
              <w:rPr>
                <w:rFonts w:ascii="Times New Roman" w:hAnsi="Times New Roman"/>
              </w:rPr>
              <w:t>stratę;</w:t>
            </w:r>
          </w:p>
          <w:p w14:paraId="1ED3967D" w14:textId="25DEC566"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W obecnym stanie prawnym, gdy zaliczka została wspólnikom wypłacona zgodnie z przepisami, spółka nie ma tytułu prawnego do żądania jej zwrotu.. Wprowadzenie takiego obowiązku wobec późniejszego odnotowania straty przez</w:t>
            </w:r>
            <w:r w:rsidR="000615BE">
              <w:rPr>
                <w:rFonts w:ascii="Times New Roman" w:hAnsi="Times New Roman"/>
              </w:rPr>
              <w:t> </w:t>
            </w:r>
            <w:r w:rsidRPr="002269DF">
              <w:rPr>
                <w:rFonts w:ascii="Times New Roman" w:hAnsi="Times New Roman"/>
              </w:rPr>
              <w:t xml:space="preserve">spółkę, ma na celu ochronę interesów jej oraz jej wierzycieli, poprzez zapewnienie spółce finansowania. </w:t>
            </w:r>
          </w:p>
          <w:p w14:paraId="364105C3" w14:textId="54DF188C"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określenie organu właściwego do odwołania zgromadzenia wspólników oraz mechanizmu jego odwołania;</w:t>
            </w:r>
          </w:p>
          <w:p w14:paraId="7786E733" w14:textId="77777777"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Kwestia procedury odwołania zgromadzenia wspólników nie została uregulowana na poziomie ustawowym. Ze względu na doniosłość przedmiotowej materii, w ocenie projektodawcy uzasadnione jest wprowadzenie mechanizmów precyzujących tryb odwołania obrad organu właścicielskiego, umożliwiając to wprost organowi zwołującemu.</w:t>
            </w:r>
          </w:p>
          <w:p w14:paraId="0D6075CF" w14:textId="77777777"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doprecyzowanie kwestii następstwa procesowego przy podziale spółki kapitałowej;</w:t>
            </w:r>
          </w:p>
          <w:p w14:paraId="4894376D" w14:textId="77777777"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 xml:space="preserve">W orzecznictwie Sądu Najwyższego powstały dwie wykluczające się linie orzecznicze, co do dopuszczalności wstąpienia, w procesie cywilnym, spółki wydzielonej w miejsce spółki dzielonej, w przypadku gdy przedmiot sporu został przeniesiony na nowopowstałą spółkę. Mając na uwadze te sprzeczności, w ocenie ustawodawcy konieczna jest w tym zakresie interwencja, której celem będzie jednoznaczne określenie dopuszczalności wstąpienia spółki wydzielonej w miejsce spółki dzielonej, z mocy prawa. </w:t>
            </w:r>
          </w:p>
          <w:p w14:paraId="791F3765" w14:textId="77777777"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doprecyzowanie kwestii odpowiedzialności spółki dzielonej za jej zobowiązania po wydzieleniu;</w:t>
            </w:r>
          </w:p>
          <w:p w14:paraId="3D9D25FD" w14:textId="77777777"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W obecnym stanie prawny przepisy przesądzają jedynie o odpowiedzialności za zobowiązania przypisane w planie podziału spółce przejmującej lub spółce nowo zawiązanej. Celem przedmiotowej zmiany jest solidarne obciążenie zobowiązaniami zarówno spółki dzielonej i spółki nowopowstałej.</w:t>
            </w:r>
          </w:p>
          <w:p w14:paraId="50C71DF8" w14:textId="77777777"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określenie wprost w przepisach możliwości umożliwienie powołania do zarządu spółki partnerskiej osoby niebędącej jej partnerem;</w:t>
            </w:r>
          </w:p>
          <w:p w14:paraId="01D5A2BE" w14:textId="77777777"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W obecnym stanie prawnym powstają wątpliwości, czy w skład zarządu spółki partnerskiej mogą wchodzić, oprócz partnerów, także osoby trzecie. Celem projektowanej zmiany jest jednoznaczne rozstrzygnięcie o dopuszczalności takiego rozwiązania.</w:t>
            </w:r>
          </w:p>
          <w:p w14:paraId="7BD0F8DC" w14:textId="77777777" w:rsidR="00331002" w:rsidRPr="002269DF" w:rsidRDefault="00A86D2D" w:rsidP="00331002">
            <w:pPr>
              <w:spacing w:before="120" w:line="240" w:lineRule="auto"/>
              <w:jc w:val="both"/>
              <w:rPr>
                <w:rFonts w:ascii="Times New Roman" w:hAnsi="Times New Roman"/>
                <w:b/>
              </w:rPr>
            </w:pPr>
            <w:r w:rsidRPr="002269DF">
              <w:rPr>
                <w:rFonts w:ascii="Times New Roman" w:hAnsi="Times New Roman"/>
                <w:b/>
              </w:rPr>
              <w:t>z</w:t>
            </w:r>
            <w:r w:rsidR="00331002" w:rsidRPr="002269DF">
              <w:rPr>
                <w:rFonts w:ascii="Times New Roman" w:hAnsi="Times New Roman"/>
                <w:b/>
              </w:rPr>
              <w:t xml:space="preserve">bytnia restrykcyjność przepisów </w:t>
            </w:r>
          </w:p>
          <w:p w14:paraId="1AE805B7" w14:textId="4A6C47CF"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umożliwienie pisemnego podejmowania uchwał przez udziałowców poza zgromadzeniem wspólników (tzw.</w:t>
            </w:r>
            <w:r w:rsidR="000615BE">
              <w:rPr>
                <w:rFonts w:ascii="Times New Roman" w:hAnsi="Times New Roman"/>
              </w:rPr>
              <w:t> </w:t>
            </w:r>
            <w:r w:rsidRPr="002269DF">
              <w:rPr>
                <w:rFonts w:ascii="Times New Roman" w:hAnsi="Times New Roman"/>
              </w:rPr>
              <w:t>„tryb obiegowy”);</w:t>
            </w:r>
          </w:p>
          <w:p w14:paraId="522FF65A" w14:textId="77777777"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 xml:space="preserve">Proponowane rozwiązanie ma ułatwić podejmowanie przez wspólników uchwał w kwestiach wynikających </w:t>
            </w:r>
            <w:r w:rsidR="00CE00BC" w:rsidRPr="002269DF">
              <w:rPr>
                <w:rFonts w:ascii="Times New Roman" w:hAnsi="Times New Roman"/>
              </w:rPr>
              <w:t>z art</w:t>
            </w:r>
            <w:r w:rsidRPr="002269DF">
              <w:rPr>
                <w:rFonts w:ascii="Times New Roman" w:hAnsi="Times New Roman"/>
              </w:rPr>
              <w:t xml:space="preserve">. 231 § 2 i § 3 KSH, w formie pisemnej, bez odbywania zgromadzenia wspólników. </w:t>
            </w:r>
          </w:p>
          <w:p w14:paraId="150AAF5E" w14:textId="77777777" w:rsidR="00331002" w:rsidRPr="002269DF" w:rsidRDefault="00331002" w:rsidP="00331002">
            <w:pPr>
              <w:numPr>
                <w:ilvl w:val="0"/>
                <w:numId w:val="15"/>
              </w:numPr>
              <w:spacing w:before="120" w:line="240" w:lineRule="auto"/>
              <w:jc w:val="both"/>
              <w:rPr>
                <w:rFonts w:ascii="Times New Roman" w:hAnsi="Times New Roman"/>
              </w:rPr>
            </w:pPr>
            <w:r w:rsidRPr="002269DF">
              <w:rPr>
                <w:rFonts w:ascii="Times New Roman" w:hAnsi="Times New Roman"/>
              </w:rPr>
              <w:t xml:space="preserve">wprowadzenie elastyczniejszych zasad dysponowania </w:t>
            </w:r>
            <w:r w:rsidRPr="002269DF">
              <w:rPr>
                <w:rFonts w:ascii="Times New Roman" w:hAnsi="Times New Roman"/>
                <w:i/>
              </w:rPr>
              <w:t>agio</w:t>
            </w:r>
            <w:r w:rsidRPr="002269DF">
              <w:rPr>
                <w:rFonts w:ascii="Times New Roman" w:hAnsi="Times New Roman"/>
              </w:rPr>
              <w:t>;</w:t>
            </w:r>
          </w:p>
          <w:p w14:paraId="55F6665D" w14:textId="35D4054E"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W obecnym stanie prawnym, w razie obejmowania udziałów po cenie wyżej niż nominalna, wspólnicy muszą dokonać przelewu nadwyżki na kapitał zapasowy. W ocenie projektodawcy jest to uregulowanie zbyt restrykcyjne. Podwyższanie kapitału zakładowego ma stanowić mechanizm finansowania spółki, co nie jest wykonalne, gdy ustawowo wprowadza się obowiązek przeznaczania nadwyżki na kapitał zapasowy, tworzony na pokrycie strat. Proponowana zmiana ma na</w:t>
            </w:r>
            <w:r w:rsidR="009060D1">
              <w:rPr>
                <w:rFonts w:ascii="Times New Roman" w:hAnsi="Times New Roman"/>
              </w:rPr>
              <w:t> </w:t>
            </w:r>
            <w:r w:rsidRPr="002269DF">
              <w:rPr>
                <w:rFonts w:ascii="Times New Roman" w:hAnsi="Times New Roman"/>
              </w:rPr>
              <w:t xml:space="preserve">celu uwolnienie </w:t>
            </w:r>
            <w:r w:rsidRPr="002269DF">
              <w:rPr>
                <w:rFonts w:ascii="Times New Roman" w:hAnsi="Times New Roman"/>
                <w:i/>
              </w:rPr>
              <w:t>agio</w:t>
            </w:r>
            <w:r w:rsidRPr="002269DF">
              <w:rPr>
                <w:rFonts w:ascii="Times New Roman" w:hAnsi="Times New Roman"/>
              </w:rPr>
              <w:t>, poprzez dopuszczenie do korzystania przez spółkę z nadwyżki pieniężnej, a nie „mrożenie” jej</w:t>
            </w:r>
            <w:r w:rsidR="009060D1">
              <w:rPr>
                <w:rFonts w:ascii="Times New Roman" w:hAnsi="Times New Roman"/>
              </w:rPr>
              <w:t> </w:t>
            </w:r>
            <w:r w:rsidRPr="002269DF">
              <w:rPr>
                <w:rFonts w:ascii="Times New Roman" w:hAnsi="Times New Roman"/>
              </w:rPr>
              <w:t>w kapitale zapasowym.</w:t>
            </w:r>
          </w:p>
          <w:p w14:paraId="68C1E6FB" w14:textId="77777777" w:rsidR="00331002" w:rsidRPr="002269DF" w:rsidRDefault="00331002" w:rsidP="00331002">
            <w:pPr>
              <w:numPr>
                <w:ilvl w:val="0"/>
                <w:numId w:val="15"/>
              </w:numPr>
              <w:spacing w:before="120" w:line="240" w:lineRule="auto"/>
              <w:jc w:val="both"/>
              <w:rPr>
                <w:rFonts w:ascii="Times New Roman" w:hAnsi="Times New Roman"/>
                <w:b/>
              </w:rPr>
            </w:pPr>
            <w:r w:rsidRPr="002269DF">
              <w:rPr>
                <w:rFonts w:ascii="Times New Roman" w:hAnsi="Times New Roman"/>
              </w:rPr>
              <w:t>doprecyzowanie wybranych kwestii o charakterze językowo-legislacyjnym oraz usunięcie przepisów, które nie mogą znaleźć zastosowania w praktyce w odniesieniu do spółek osobowych;</w:t>
            </w:r>
          </w:p>
          <w:p w14:paraId="71C72C48" w14:textId="58B1FB30" w:rsidR="00331002" w:rsidRPr="002269DF" w:rsidRDefault="00331002" w:rsidP="00331002">
            <w:pPr>
              <w:spacing w:before="120" w:line="240" w:lineRule="auto"/>
              <w:jc w:val="both"/>
              <w:rPr>
                <w:rFonts w:ascii="Times New Roman" w:hAnsi="Times New Roman"/>
                <w:b/>
              </w:rPr>
            </w:pPr>
            <w:r w:rsidRPr="002269DF">
              <w:rPr>
                <w:rFonts w:ascii="Times New Roman" w:hAnsi="Times New Roman"/>
              </w:rPr>
              <w:t>Na proponowane zmiany składa się usunięcie odpowiedzialności osób działających za spółkę osobową przed</w:t>
            </w:r>
            <w:r w:rsidR="009060D1">
              <w:rPr>
                <w:rFonts w:ascii="Times New Roman" w:hAnsi="Times New Roman"/>
              </w:rPr>
              <w:t> </w:t>
            </w:r>
            <w:r w:rsidRPr="002269DF">
              <w:rPr>
                <w:rFonts w:ascii="Times New Roman" w:hAnsi="Times New Roman"/>
              </w:rPr>
              <w:t>jej</w:t>
            </w:r>
            <w:r w:rsidR="009060D1">
              <w:rPr>
                <w:rFonts w:ascii="Times New Roman" w:hAnsi="Times New Roman"/>
              </w:rPr>
              <w:t> </w:t>
            </w:r>
            <w:r w:rsidRPr="002269DF">
              <w:rPr>
                <w:rFonts w:ascii="Times New Roman" w:hAnsi="Times New Roman"/>
              </w:rPr>
              <w:t>wpisaniem do rejestru, wskazanie, że należy liczyć sumę sum komandytowych przy przekształcaniu spółki w</w:t>
            </w:r>
            <w:r w:rsidR="00FF10E7">
              <w:rPr>
                <w:rFonts w:ascii="Times New Roman" w:hAnsi="Times New Roman"/>
              </w:rPr>
              <w:t> </w:t>
            </w:r>
            <w:r w:rsidRPr="002269DF">
              <w:rPr>
                <w:rFonts w:ascii="Times New Roman" w:hAnsi="Times New Roman"/>
              </w:rPr>
              <w:t xml:space="preserve">spółkę kapitałową, możliwość wypowiedzenia umowy spółki przez komplementariusza. </w:t>
            </w:r>
          </w:p>
          <w:p w14:paraId="00FAC517" w14:textId="77777777" w:rsidR="00331002" w:rsidRPr="002269DF" w:rsidRDefault="00A86D2D" w:rsidP="00331002">
            <w:pPr>
              <w:numPr>
                <w:ilvl w:val="0"/>
                <w:numId w:val="15"/>
              </w:numPr>
              <w:spacing w:before="120" w:line="240" w:lineRule="auto"/>
              <w:jc w:val="both"/>
              <w:rPr>
                <w:rFonts w:ascii="Times New Roman" w:hAnsi="Times New Roman"/>
              </w:rPr>
            </w:pPr>
            <w:r w:rsidRPr="002269DF">
              <w:rPr>
                <w:rFonts w:ascii="Times New Roman" w:hAnsi="Times New Roman"/>
              </w:rPr>
              <w:t>s</w:t>
            </w:r>
            <w:r w:rsidR="00331002" w:rsidRPr="002269DF">
              <w:rPr>
                <w:rFonts w:ascii="Times New Roman" w:hAnsi="Times New Roman"/>
              </w:rPr>
              <w:t>kładanie pełnomocnictw na posiedzeniach organów właścicielskich spółek;</w:t>
            </w:r>
          </w:p>
          <w:p w14:paraId="2F67AB72" w14:textId="0E262F57" w:rsidR="00331002" w:rsidRPr="002269DF" w:rsidRDefault="00331002" w:rsidP="00331002">
            <w:pPr>
              <w:spacing w:before="120" w:line="240" w:lineRule="auto"/>
              <w:jc w:val="both"/>
              <w:rPr>
                <w:rFonts w:ascii="Times New Roman" w:hAnsi="Times New Roman"/>
              </w:rPr>
            </w:pPr>
            <w:r w:rsidRPr="002269DF">
              <w:rPr>
                <w:rFonts w:ascii="Times New Roman" w:hAnsi="Times New Roman"/>
              </w:rPr>
              <w:t>W obecnym brzmieniu przepisy wprowadzają wymóg, by pełnomocnik udziałowca albo akcjonariusza przekazywał do</w:t>
            </w:r>
            <w:r w:rsidR="009060D1">
              <w:rPr>
                <w:rFonts w:ascii="Times New Roman" w:hAnsi="Times New Roman"/>
              </w:rPr>
              <w:t> </w:t>
            </w:r>
            <w:r w:rsidRPr="002269DF">
              <w:rPr>
                <w:rFonts w:ascii="Times New Roman" w:hAnsi="Times New Roman"/>
              </w:rPr>
              <w:t>księgi protokołów oryginał swojego pełnomocnictwa. W praktyce najczęściej jest tak, że tego typu pełnomocnictwa istnieją w jednym egzemplarzu, a pełnomocnik korzysta z nich więcej niż raz. Zniesienie ww. obowiązku usprawni działalność przedsiębiorcy udzielającego pełnomocnictwa i nie wpłynie negatywnie na bezpieczeństwo obrotu.</w:t>
            </w:r>
          </w:p>
          <w:p w14:paraId="70EF26F5" w14:textId="77777777" w:rsidR="00970495" w:rsidRPr="002269DF" w:rsidRDefault="00970495" w:rsidP="00970495">
            <w:pPr>
              <w:spacing w:before="120" w:line="240" w:lineRule="auto"/>
              <w:jc w:val="both"/>
              <w:rPr>
                <w:rFonts w:ascii="Times New Roman" w:hAnsi="Times New Roman"/>
                <w:b/>
                <w:bCs/>
                <w:color w:val="000000"/>
              </w:rPr>
            </w:pPr>
            <w:r w:rsidRPr="002269DF">
              <w:rPr>
                <w:rFonts w:ascii="Times New Roman" w:hAnsi="Times New Roman"/>
                <w:bCs/>
                <w:color w:val="000000"/>
              </w:rPr>
              <w:lastRenderedPageBreak/>
              <w:t xml:space="preserve">- </w:t>
            </w:r>
            <w:r w:rsidRPr="002269DF">
              <w:rPr>
                <w:rFonts w:ascii="Times New Roman" w:hAnsi="Times New Roman"/>
                <w:b/>
                <w:bCs/>
                <w:color w:val="000000"/>
              </w:rPr>
              <w:t>w zakresie administrowania obrotem</w:t>
            </w:r>
          </w:p>
          <w:p w14:paraId="21B68522" w14:textId="454836DE" w:rsidR="00970495" w:rsidRPr="002269DF" w:rsidRDefault="00970495" w:rsidP="00970495">
            <w:pPr>
              <w:numPr>
                <w:ilvl w:val="0"/>
                <w:numId w:val="21"/>
              </w:numPr>
              <w:spacing w:before="120" w:line="240" w:lineRule="auto"/>
              <w:jc w:val="both"/>
              <w:rPr>
                <w:rFonts w:ascii="Times New Roman" w:hAnsi="Times New Roman"/>
              </w:rPr>
            </w:pPr>
            <w:r w:rsidRPr="002269DF">
              <w:rPr>
                <w:rFonts w:ascii="Times New Roman" w:hAnsi="Times New Roman"/>
              </w:rPr>
              <w:t xml:space="preserve">zniesienie obligatoryjnego obowiązku dołączania do wniosku tłumaczenia dokumentów, </w:t>
            </w:r>
            <w:r w:rsidR="00CE00BC" w:rsidRPr="002269DF">
              <w:rPr>
                <w:rFonts w:ascii="Times New Roman" w:hAnsi="Times New Roman"/>
              </w:rPr>
              <w:t>co przyczyni</w:t>
            </w:r>
            <w:r w:rsidRPr="002269DF">
              <w:rPr>
                <w:rFonts w:ascii="Times New Roman" w:hAnsi="Times New Roman"/>
              </w:rPr>
              <w:t xml:space="preserve"> się </w:t>
            </w:r>
            <w:r w:rsidRPr="002269DF">
              <w:rPr>
                <w:rFonts w:ascii="Times New Roman" w:hAnsi="Times New Roman"/>
              </w:rPr>
              <w:br/>
              <w:t>do znaczącego zmniejszenie obciążeń administracyjnych dla przedsiębiorców - proponuje się wprowadzenie fakultatywności organó</w:t>
            </w:r>
            <w:r w:rsidR="00EC1DEE">
              <w:rPr>
                <w:rFonts w:ascii="Times New Roman" w:hAnsi="Times New Roman"/>
              </w:rPr>
              <w:t>w w żądaniu takiego tłumaczenia;</w:t>
            </w:r>
          </w:p>
          <w:p w14:paraId="0BC59A57" w14:textId="68D32371" w:rsidR="00970495" w:rsidRPr="002269DF" w:rsidRDefault="00970495" w:rsidP="00D73407">
            <w:pPr>
              <w:numPr>
                <w:ilvl w:val="0"/>
                <w:numId w:val="21"/>
              </w:numPr>
              <w:spacing w:before="120" w:line="240" w:lineRule="auto"/>
              <w:jc w:val="both"/>
              <w:rPr>
                <w:rFonts w:ascii="Times New Roman" w:hAnsi="Times New Roman"/>
              </w:rPr>
            </w:pPr>
            <w:r w:rsidRPr="002269DF">
              <w:rPr>
                <w:rFonts w:ascii="Times New Roman" w:hAnsi="Times New Roman"/>
              </w:rPr>
              <w:t>wyłączenie obowiązku (wynikającego z KPA) przedkładania do każdego wniosku dokumentu pełnomocnictwa przez przedsiębiorców</w:t>
            </w:r>
            <w:r w:rsidR="00997755" w:rsidRPr="002269DF">
              <w:rPr>
                <w:rFonts w:ascii="Times New Roman" w:hAnsi="Times New Roman"/>
              </w:rPr>
              <w:t>;</w:t>
            </w:r>
          </w:p>
          <w:p w14:paraId="36BEC15D" w14:textId="77777777" w:rsidR="00970495" w:rsidRPr="002269DF" w:rsidRDefault="00970495" w:rsidP="00970495">
            <w:pPr>
              <w:spacing w:before="120" w:line="240" w:lineRule="auto"/>
              <w:jc w:val="both"/>
              <w:rPr>
                <w:rFonts w:ascii="Times New Roman" w:hAnsi="Times New Roman"/>
                <w:b/>
                <w:bCs/>
                <w:color w:val="000000"/>
              </w:rPr>
            </w:pPr>
            <w:r w:rsidRPr="002269DF">
              <w:rPr>
                <w:rFonts w:ascii="Times New Roman" w:hAnsi="Times New Roman"/>
                <w:b/>
                <w:bCs/>
                <w:color w:val="000000"/>
              </w:rPr>
              <w:t>- w zakresie służby BHP pełnionej przez pracodawcę</w:t>
            </w:r>
          </w:p>
          <w:p w14:paraId="4F0CEABF" w14:textId="22ACCCBC" w:rsidR="00970495" w:rsidRPr="002269DF" w:rsidRDefault="00970495" w:rsidP="00970495">
            <w:pPr>
              <w:numPr>
                <w:ilvl w:val="0"/>
                <w:numId w:val="23"/>
              </w:numPr>
              <w:spacing w:before="120" w:line="240" w:lineRule="auto"/>
              <w:jc w:val="both"/>
              <w:rPr>
                <w:rFonts w:ascii="Times New Roman" w:hAnsi="Times New Roman"/>
              </w:rPr>
            </w:pPr>
            <w:r w:rsidRPr="002269DF">
              <w:rPr>
                <w:rFonts w:ascii="Times New Roman" w:hAnsi="Times New Roman"/>
              </w:rPr>
              <w:t>zwiększenie możliwości pełnienia zadań służby BHP przez pracodawcę zatrudniającego do 50 pracowników i zakwalifikowanego do nie wyższej kategorii ryzyka niż trzecia w rozumieniu przepisów o ubezpieczeniu społecznym, z obecnego limitu 20 pracowników. Obecnie, w przypadku zatrudnienia powyżej 20 pracowników, pracodawca zobowiązany jest do wyznaczenia innej osoby z zakładu lub specjalisty spoza do pełnienia tej</w:t>
            </w:r>
            <w:r w:rsidR="009060D1">
              <w:rPr>
                <w:rFonts w:ascii="Times New Roman" w:hAnsi="Times New Roman"/>
              </w:rPr>
              <w:t> </w:t>
            </w:r>
            <w:r w:rsidRPr="002269DF">
              <w:rPr>
                <w:rFonts w:ascii="Times New Roman" w:hAnsi="Times New Roman"/>
              </w:rPr>
              <w:t>funkcji. Zmiana przepisu poszerzy możliwości pracodawcy w zakresie wyznaczenia osoby któr</w:t>
            </w:r>
            <w:r w:rsidR="00997755" w:rsidRPr="002269DF">
              <w:rPr>
                <w:rFonts w:ascii="Times New Roman" w:hAnsi="Times New Roman"/>
              </w:rPr>
              <w:t>a ma pełnić zadania służby BHP;</w:t>
            </w:r>
          </w:p>
          <w:p w14:paraId="3D9672AF" w14:textId="77777777" w:rsidR="00970495" w:rsidRPr="002269DF" w:rsidRDefault="00970495" w:rsidP="00970495">
            <w:pPr>
              <w:spacing w:before="120" w:line="240" w:lineRule="auto"/>
              <w:jc w:val="both"/>
              <w:rPr>
                <w:rFonts w:ascii="Times New Roman" w:hAnsi="Times New Roman"/>
                <w:b/>
                <w:bCs/>
              </w:rPr>
            </w:pPr>
            <w:r w:rsidRPr="002269DF">
              <w:rPr>
                <w:rFonts w:ascii="Times New Roman" w:hAnsi="Times New Roman"/>
                <w:b/>
                <w:bCs/>
              </w:rPr>
              <w:t xml:space="preserve">- w zakresie szkoleń okresowych BHP </w:t>
            </w:r>
          </w:p>
          <w:p w14:paraId="4FBA807C" w14:textId="0D458B7F" w:rsidR="00EC4100" w:rsidRPr="002269DF" w:rsidRDefault="00970495" w:rsidP="00095395">
            <w:pPr>
              <w:numPr>
                <w:ilvl w:val="0"/>
                <w:numId w:val="24"/>
              </w:numPr>
              <w:spacing w:before="120" w:line="240" w:lineRule="auto"/>
              <w:jc w:val="both"/>
              <w:rPr>
                <w:rFonts w:ascii="Times New Roman" w:hAnsi="Times New Roman"/>
              </w:rPr>
            </w:pPr>
            <w:r w:rsidRPr="002269DF">
              <w:rPr>
                <w:rFonts w:ascii="Times New Roman" w:hAnsi="Times New Roman"/>
              </w:rPr>
              <w:t xml:space="preserve">ograniczenie obowiązku przeprowadzania szkoleń okresowych </w:t>
            </w:r>
            <w:r w:rsidR="00CE00BC" w:rsidRPr="002269DF">
              <w:rPr>
                <w:rFonts w:ascii="Times New Roman" w:hAnsi="Times New Roman"/>
              </w:rPr>
              <w:t>BHP dla</w:t>
            </w:r>
            <w:r w:rsidRPr="002269DF">
              <w:rPr>
                <w:rFonts w:ascii="Times New Roman" w:hAnsi="Times New Roman"/>
              </w:rPr>
              <w:t xml:space="preserve"> pracowników zatrudnionych na</w:t>
            </w:r>
            <w:r w:rsidR="009060D1">
              <w:rPr>
                <w:rFonts w:ascii="Times New Roman" w:hAnsi="Times New Roman"/>
              </w:rPr>
              <w:t> </w:t>
            </w:r>
            <w:r w:rsidRPr="002269DF">
              <w:rPr>
                <w:rFonts w:ascii="Times New Roman" w:hAnsi="Times New Roman"/>
              </w:rPr>
              <w:t>stanowiskach o najniższych wskaźnikach wypadkowości i warunkach środowiska pracy w których występują najmniej</w:t>
            </w:r>
            <w:r w:rsidR="00095395" w:rsidRPr="002269DF">
              <w:rPr>
                <w:rFonts w:ascii="Times New Roman" w:hAnsi="Times New Roman"/>
              </w:rPr>
              <w:t xml:space="preserve"> szkodliwe czynniki dla zdrowia</w:t>
            </w:r>
            <w:r w:rsidR="00D73407">
              <w:rPr>
                <w:rFonts w:ascii="Times New Roman" w:hAnsi="Times New Roman"/>
              </w:rPr>
              <w:t>;</w:t>
            </w:r>
          </w:p>
          <w:p w14:paraId="40DFF7E1" w14:textId="77777777" w:rsidR="00EC43D8" w:rsidRPr="002269DF" w:rsidRDefault="00EC43D8" w:rsidP="00EC43D8">
            <w:pPr>
              <w:spacing w:before="120" w:line="240" w:lineRule="auto"/>
              <w:jc w:val="both"/>
              <w:rPr>
                <w:rFonts w:ascii="Times New Roman" w:hAnsi="Times New Roman"/>
                <w:b/>
                <w:bCs/>
                <w:color w:val="000000"/>
              </w:rPr>
            </w:pPr>
            <w:r w:rsidRPr="002269DF">
              <w:rPr>
                <w:rFonts w:ascii="Times New Roman" w:hAnsi="Times New Roman"/>
                <w:b/>
                <w:bCs/>
                <w:color w:val="000000"/>
              </w:rPr>
              <w:t>- w zakresie ustawy o wychowaniu w trzeźwości i przeciwdziałaniu alkoholizmowi</w:t>
            </w:r>
          </w:p>
          <w:p w14:paraId="6B353C9E" w14:textId="77777777" w:rsidR="00EC43D8" w:rsidRPr="002269DF" w:rsidRDefault="00EC43D8" w:rsidP="00EC43D8">
            <w:pPr>
              <w:numPr>
                <w:ilvl w:val="0"/>
                <w:numId w:val="25"/>
              </w:numPr>
              <w:spacing w:before="120" w:line="240" w:lineRule="auto"/>
              <w:jc w:val="both"/>
              <w:rPr>
                <w:rFonts w:ascii="Times New Roman" w:hAnsi="Times New Roman"/>
              </w:rPr>
            </w:pPr>
            <w:r w:rsidRPr="002269DF">
              <w:rPr>
                <w:rFonts w:ascii="Times New Roman" w:hAnsi="Times New Roman"/>
              </w:rPr>
              <w:t>zredukowanie wymogów formalnych związanych ze złożeniem wniosku o wydanie zezwolenia na obrót hurtowy napojami alkoholowymi;</w:t>
            </w:r>
          </w:p>
          <w:p w14:paraId="746356FB" w14:textId="77777777" w:rsidR="00EC43D8" w:rsidRPr="002269DF" w:rsidRDefault="00EC43D8" w:rsidP="00EC43D8">
            <w:pPr>
              <w:numPr>
                <w:ilvl w:val="0"/>
                <w:numId w:val="25"/>
              </w:numPr>
              <w:spacing w:before="120" w:line="240" w:lineRule="auto"/>
              <w:jc w:val="both"/>
              <w:rPr>
                <w:rFonts w:ascii="Times New Roman" w:hAnsi="Times New Roman"/>
              </w:rPr>
            </w:pPr>
            <w:r w:rsidRPr="002269DF">
              <w:rPr>
                <w:rFonts w:ascii="Times New Roman" w:hAnsi="Times New Roman"/>
              </w:rPr>
              <w:t>umożliwienie posiadaczom zezwolenia na obrót hurtowy zaopatrywania w napoje alkoholowe statków, pociągów i samolotów (bez uzyskiwania dodatkowego zezwolenia);</w:t>
            </w:r>
          </w:p>
          <w:p w14:paraId="220CD671" w14:textId="26750A61" w:rsidR="00EC43D8" w:rsidRPr="002269DF" w:rsidRDefault="00EC43D8" w:rsidP="00EC43D8">
            <w:pPr>
              <w:numPr>
                <w:ilvl w:val="0"/>
                <w:numId w:val="25"/>
              </w:numPr>
              <w:spacing w:before="120" w:line="240" w:lineRule="auto"/>
              <w:jc w:val="both"/>
              <w:rPr>
                <w:rFonts w:ascii="Times New Roman" w:hAnsi="Times New Roman"/>
              </w:rPr>
            </w:pPr>
            <w:r w:rsidRPr="002269DF">
              <w:rPr>
                <w:rFonts w:ascii="Times New Roman" w:hAnsi="Times New Roman"/>
              </w:rPr>
              <w:t>jednoznaczne wskazanie na możliwość jednorazowego wniesienia opłaty za korzystanie z zezwolenia na</w:t>
            </w:r>
            <w:r w:rsidR="009060D1">
              <w:rPr>
                <w:rFonts w:ascii="Times New Roman" w:hAnsi="Times New Roman"/>
              </w:rPr>
              <w:t> </w:t>
            </w:r>
            <w:r w:rsidRPr="002269DF">
              <w:rPr>
                <w:rFonts w:ascii="Times New Roman" w:hAnsi="Times New Roman"/>
              </w:rPr>
              <w:t>sprzedaż alkoholu</w:t>
            </w:r>
            <w:r w:rsidR="00D73407">
              <w:rPr>
                <w:rFonts w:ascii="Times New Roman" w:hAnsi="Times New Roman"/>
              </w:rPr>
              <w:t>;</w:t>
            </w:r>
          </w:p>
          <w:p w14:paraId="618B7F3F" w14:textId="77777777" w:rsidR="00EC43D8" w:rsidRPr="002269DF" w:rsidRDefault="00EC43D8" w:rsidP="00EC43D8">
            <w:pPr>
              <w:spacing w:before="120" w:line="240" w:lineRule="auto"/>
              <w:jc w:val="both"/>
              <w:rPr>
                <w:rFonts w:ascii="Times New Roman" w:hAnsi="Times New Roman"/>
                <w:b/>
              </w:rPr>
            </w:pPr>
            <w:r w:rsidRPr="002269DF">
              <w:rPr>
                <w:rFonts w:ascii="Times New Roman" w:hAnsi="Times New Roman"/>
              </w:rPr>
              <w:t>-</w:t>
            </w:r>
            <w:r w:rsidRPr="002269DF">
              <w:rPr>
                <w:rFonts w:ascii="Times New Roman" w:hAnsi="Times New Roman"/>
                <w:b/>
              </w:rPr>
              <w:t xml:space="preserve"> w zakresie bezpieczeństwa żywności i żywienia</w:t>
            </w:r>
          </w:p>
          <w:p w14:paraId="3F9D77B1" w14:textId="77777777" w:rsidR="00EC43D8" w:rsidRPr="002269DF" w:rsidRDefault="00402ED6" w:rsidP="00EC43D8">
            <w:pPr>
              <w:numPr>
                <w:ilvl w:val="0"/>
                <w:numId w:val="27"/>
              </w:numPr>
              <w:spacing w:before="120" w:line="240" w:lineRule="auto"/>
              <w:jc w:val="both"/>
              <w:rPr>
                <w:rFonts w:ascii="Times New Roman" w:hAnsi="Times New Roman"/>
                <w:color w:val="000000"/>
                <w:lang w:eastAsia="pl-PL"/>
              </w:rPr>
            </w:pPr>
            <w:r w:rsidRPr="002269DF">
              <w:rPr>
                <w:rFonts w:ascii="Times New Roman" w:hAnsi="Times New Roman"/>
              </w:rPr>
              <w:t>umożliwienie</w:t>
            </w:r>
            <w:r w:rsidR="00EC43D8" w:rsidRPr="002269DF">
              <w:rPr>
                <w:rFonts w:ascii="Times New Roman" w:hAnsi="Times New Roman"/>
              </w:rPr>
              <w:t xml:space="preserve"> odbioru przez państwowego powiatowego inspektora sanitarnego (lub państwowego granicznego inspektora sanitarnego) mobilnych gastronomii w innym mieście powiatowym niż jest zarejestrowana firma;</w:t>
            </w:r>
          </w:p>
          <w:p w14:paraId="1705990B" w14:textId="77777777" w:rsidR="00EC43D8" w:rsidRPr="002269DF" w:rsidRDefault="00EC43D8" w:rsidP="00EC43D8">
            <w:pPr>
              <w:spacing w:before="120" w:line="240" w:lineRule="auto"/>
              <w:jc w:val="both"/>
              <w:rPr>
                <w:rFonts w:ascii="Times New Roman" w:hAnsi="Times New Roman"/>
                <w:b/>
              </w:rPr>
            </w:pPr>
            <w:r w:rsidRPr="002269DF">
              <w:rPr>
                <w:rFonts w:ascii="Times New Roman" w:hAnsi="Times New Roman"/>
              </w:rPr>
              <w:t>-</w:t>
            </w:r>
            <w:r w:rsidRPr="002269DF">
              <w:rPr>
                <w:rFonts w:ascii="Times New Roman" w:hAnsi="Times New Roman"/>
                <w:b/>
              </w:rPr>
              <w:t xml:space="preserve"> w zakresie ustawy prawo o ruchu drogowym</w:t>
            </w:r>
          </w:p>
          <w:p w14:paraId="7455F636" w14:textId="0FFF5B5D" w:rsidR="00D73407" w:rsidRPr="002269DF" w:rsidRDefault="00D73407" w:rsidP="00D73407">
            <w:pPr>
              <w:pStyle w:val="Akapitzlist"/>
              <w:numPr>
                <w:ilvl w:val="0"/>
                <w:numId w:val="31"/>
              </w:numPr>
              <w:jc w:val="both"/>
              <w:rPr>
                <w:rFonts w:ascii="Times New Roman" w:hAnsi="Times New Roman"/>
                <w:color w:val="000000"/>
                <w:lang w:eastAsia="pl-PL"/>
              </w:rPr>
            </w:pPr>
            <w:r>
              <w:rPr>
                <w:rFonts w:ascii="Times New Roman" w:hAnsi="Times New Roman"/>
                <w:color w:val="000000"/>
                <w:lang w:eastAsia="pl-PL"/>
              </w:rPr>
              <w:t>usunięcie wątpliwości co do możliwości dokonania rejestracji „motocykla”  wyposażonego w  rodzaj napędu spełniającego kryteria przepisów o homologacji, tj. zmiana będzie odnosiła się w większości przypadkach do</w:t>
            </w:r>
            <w:r w:rsidR="009060D1">
              <w:rPr>
                <w:rFonts w:ascii="Times New Roman" w:hAnsi="Times New Roman"/>
                <w:color w:val="000000"/>
                <w:lang w:eastAsia="pl-PL"/>
              </w:rPr>
              <w:t> </w:t>
            </w:r>
            <w:r>
              <w:rPr>
                <w:rFonts w:ascii="Times New Roman" w:hAnsi="Times New Roman"/>
                <w:color w:val="000000"/>
                <w:lang w:eastAsia="pl-PL"/>
              </w:rPr>
              <w:t>motocykli z napędem elektrycznym;</w:t>
            </w:r>
          </w:p>
          <w:p w14:paraId="70ED5B33" w14:textId="77777777" w:rsidR="00EC43D8" w:rsidRPr="002269DF" w:rsidRDefault="00C31A18" w:rsidP="00EC43D8">
            <w:pPr>
              <w:spacing w:before="120" w:line="240" w:lineRule="auto"/>
              <w:ind w:left="176" w:hanging="176"/>
              <w:jc w:val="both"/>
              <w:rPr>
                <w:rFonts w:ascii="Times New Roman" w:hAnsi="Times New Roman"/>
              </w:rPr>
            </w:pPr>
            <w:r>
              <w:rPr>
                <w:rFonts w:ascii="Times New Roman" w:hAnsi="Times New Roman"/>
                <w:b/>
              </w:rPr>
              <w:t xml:space="preserve">- </w:t>
            </w:r>
            <w:r w:rsidR="00EC43D8" w:rsidRPr="002269DF">
              <w:rPr>
                <w:rFonts w:ascii="Times New Roman" w:hAnsi="Times New Roman"/>
                <w:b/>
              </w:rPr>
              <w:t xml:space="preserve">w zakresie </w:t>
            </w:r>
            <w:r w:rsidR="004E2336" w:rsidRPr="002269DF">
              <w:rPr>
                <w:rFonts w:ascii="Times New Roman" w:hAnsi="Times New Roman"/>
                <w:b/>
              </w:rPr>
              <w:t xml:space="preserve">ustawy o </w:t>
            </w:r>
            <w:r w:rsidR="00EC43D8" w:rsidRPr="002269DF">
              <w:rPr>
                <w:rFonts w:ascii="Times New Roman" w:hAnsi="Times New Roman"/>
                <w:b/>
              </w:rPr>
              <w:t>termin</w:t>
            </w:r>
            <w:r w:rsidR="004E2336" w:rsidRPr="002269DF">
              <w:rPr>
                <w:rFonts w:ascii="Times New Roman" w:hAnsi="Times New Roman"/>
                <w:b/>
              </w:rPr>
              <w:t>ach</w:t>
            </w:r>
            <w:r w:rsidR="00EC43D8" w:rsidRPr="002269DF">
              <w:rPr>
                <w:rFonts w:ascii="Times New Roman" w:hAnsi="Times New Roman"/>
                <w:b/>
              </w:rPr>
              <w:t xml:space="preserve"> zapłaty</w:t>
            </w:r>
          </w:p>
          <w:p w14:paraId="5CD09DA0" w14:textId="0DBD82D0" w:rsidR="00EC43D8" w:rsidRPr="005F0151" w:rsidRDefault="00EC43D8" w:rsidP="005F0151">
            <w:pPr>
              <w:pStyle w:val="Akapitzlist"/>
              <w:numPr>
                <w:ilvl w:val="0"/>
                <w:numId w:val="36"/>
              </w:numPr>
              <w:spacing w:before="120" w:line="240" w:lineRule="auto"/>
              <w:ind w:left="743" w:hanging="425"/>
              <w:jc w:val="both"/>
              <w:rPr>
                <w:rFonts w:ascii="Times New Roman" w:hAnsi="Times New Roman"/>
              </w:rPr>
            </w:pPr>
            <w:r w:rsidRPr="005F0151">
              <w:rPr>
                <w:rFonts w:ascii="Times New Roman" w:hAnsi="Times New Roman"/>
              </w:rPr>
              <w:t>ograniczenie sytuacji, w których terminy zapłaty ustalane przez podmioty publiczne na rzecz przedsiębiorców przekraczają 30 dni.</w:t>
            </w:r>
          </w:p>
        </w:tc>
      </w:tr>
      <w:tr w:rsidR="00AB0F2F" w:rsidRPr="002269DF" w14:paraId="4CDB6A70" w14:textId="77777777" w:rsidTr="00676C8D">
        <w:trPr>
          <w:gridAfter w:val="1"/>
          <w:wAfter w:w="10" w:type="dxa"/>
          <w:trHeight w:val="307"/>
        </w:trPr>
        <w:tc>
          <w:tcPr>
            <w:tcW w:w="10937" w:type="dxa"/>
            <w:gridSpan w:val="29"/>
            <w:shd w:val="clear" w:color="auto" w:fill="99CCFF"/>
            <w:vAlign w:val="center"/>
          </w:tcPr>
          <w:p w14:paraId="76C3B3F3" w14:textId="77777777" w:rsidR="00AB0F2F" w:rsidRPr="002269DF" w:rsidRDefault="00AB0F2F" w:rsidP="008B3AA3">
            <w:pPr>
              <w:numPr>
                <w:ilvl w:val="0"/>
                <w:numId w:val="1"/>
              </w:numPr>
              <w:spacing w:before="60" w:after="60" w:line="240" w:lineRule="auto"/>
              <w:ind w:left="318" w:hanging="284"/>
              <w:jc w:val="both"/>
              <w:rPr>
                <w:rFonts w:ascii="Times New Roman" w:hAnsi="Times New Roman"/>
                <w:b/>
              </w:rPr>
            </w:pPr>
            <w:r w:rsidRPr="002269DF">
              <w:rPr>
                <w:rFonts w:ascii="Times New Roman" w:hAnsi="Times New Roman"/>
                <w:b/>
                <w:spacing w:val="-2"/>
              </w:rPr>
              <w:lastRenderedPageBreak/>
              <w:t>Jak problem został rozwiązany w innych krajach, w szczególności krajach członkowskich OECD/UE</w:t>
            </w:r>
            <w:r w:rsidRPr="002269DF">
              <w:rPr>
                <w:rFonts w:ascii="Times New Roman" w:hAnsi="Times New Roman"/>
                <w:b/>
              </w:rPr>
              <w:t>?</w:t>
            </w:r>
            <w:r w:rsidRPr="002269DF">
              <w:rPr>
                <w:rFonts w:ascii="Times New Roman" w:hAnsi="Times New Roman"/>
                <w:i/>
              </w:rPr>
              <w:t xml:space="preserve"> </w:t>
            </w:r>
          </w:p>
        </w:tc>
      </w:tr>
      <w:tr w:rsidR="00AB0F2F" w:rsidRPr="002269DF" w14:paraId="25B547D2" w14:textId="77777777" w:rsidTr="00676C8D">
        <w:trPr>
          <w:gridAfter w:val="1"/>
          <w:wAfter w:w="10" w:type="dxa"/>
          <w:trHeight w:val="142"/>
        </w:trPr>
        <w:tc>
          <w:tcPr>
            <w:tcW w:w="10937" w:type="dxa"/>
            <w:gridSpan w:val="29"/>
            <w:shd w:val="clear" w:color="auto" w:fill="auto"/>
          </w:tcPr>
          <w:p w14:paraId="188F1997" w14:textId="77777777" w:rsidR="007850A6" w:rsidRPr="002269DF" w:rsidRDefault="007850A6" w:rsidP="006C1D99">
            <w:pPr>
              <w:spacing w:before="120" w:line="240" w:lineRule="auto"/>
              <w:jc w:val="both"/>
              <w:rPr>
                <w:rFonts w:ascii="Times New Roman" w:hAnsi="Times New Roman"/>
                <w:color w:val="000000"/>
                <w:spacing w:val="-2"/>
              </w:rPr>
            </w:pPr>
            <w:r w:rsidRPr="002269DF">
              <w:rPr>
                <w:rFonts w:ascii="Times New Roman" w:hAnsi="Times New Roman"/>
                <w:b/>
                <w:color w:val="000000"/>
                <w:spacing w:val="-2"/>
              </w:rPr>
              <w:t xml:space="preserve">- </w:t>
            </w:r>
            <w:r w:rsidR="002A417D" w:rsidRPr="002269DF">
              <w:rPr>
                <w:rFonts w:ascii="Times New Roman" w:hAnsi="Times New Roman"/>
                <w:b/>
                <w:color w:val="000000"/>
                <w:spacing w:val="-2"/>
              </w:rPr>
              <w:t>w zakresie podatków dochodowych</w:t>
            </w:r>
          </w:p>
          <w:p w14:paraId="44D57399" w14:textId="77777777" w:rsidR="00B07D60" w:rsidRPr="002269DF" w:rsidRDefault="00B07D60" w:rsidP="006C1D99">
            <w:pPr>
              <w:spacing w:before="120" w:line="240" w:lineRule="auto"/>
              <w:jc w:val="both"/>
              <w:rPr>
                <w:rFonts w:ascii="Times New Roman" w:hAnsi="Times New Roman"/>
                <w:b/>
              </w:rPr>
            </w:pPr>
            <w:r w:rsidRPr="002269DF">
              <w:rPr>
                <w:rFonts w:ascii="Times New Roman" w:hAnsi="Times New Roman"/>
                <w:color w:val="000000"/>
                <w:spacing w:val="-2"/>
              </w:rPr>
              <w:t>Zgodnie z rankingiem „</w:t>
            </w:r>
            <w:proofErr w:type="spellStart"/>
            <w:r w:rsidRPr="002269DF">
              <w:rPr>
                <w:rFonts w:ascii="Times New Roman" w:hAnsi="Times New Roman"/>
                <w:color w:val="000000"/>
                <w:spacing w:val="-2"/>
              </w:rPr>
              <w:t>Doing</w:t>
            </w:r>
            <w:proofErr w:type="spellEnd"/>
            <w:r w:rsidRPr="002269DF">
              <w:rPr>
                <w:rFonts w:ascii="Times New Roman" w:hAnsi="Times New Roman"/>
                <w:color w:val="000000"/>
                <w:spacing w:val="-2"/>
              </w:rPr>
              <w:t xml:space="preserve"> Business ” </w:t>
            </w:r>
            <w:r w:rsidR="00CE00BC" w:rsidRPr="002269DF">
              <w:rPr>
                <w:rFonts w:ascii="Times New Roman" w:hAnsi="Times New Roman"/>
                <w:color w:val="000000"/>
                <w:spacing w:val="-2"/>
              </w:rPr>
              <w:t>przygotowywanym przez</w:t>
            </w:r>
            <w:r w:rsidRPr="002269DF">
              <w:rPr>
                <w:rFonts w:ascii="Times New Roman" w:hAnsi="Times New Roman"/>
                <w:color w:val="000000"/>
                <w:spacing w:val="-2"/>
              </w:rPr>
              <w:t xml:space="preserve"> Bank Światowy jest przygotowywany raport „</w:t>
            </w:r>
            <w:proofErr w:type="spellStart"/>
            <w:r w:rsidRPr="002269DF">
              <w:rPr>
                <w:rFonts w:ascii="Times New Roman" w:hAnsi="Times New Roman"/>
                <w:color w:val="000000"/>
                <w:spacing w:val="-2"/>
              </w:rPr>
              <w:t>Paying</w:t>
            </w:r>
            <w:proofErr w:type="spellEnd"/>
            <w:r w:rsidRPr="002269DF">
              <w:rPr>
                <w:rFonts w:ascii="Times New Roman" w:hAnsi="Times New Roman"/>
                <w:color w:val="000000"/>
                <w:spacing w:val="-2"/>
              </w:rPr>
              <w:t xml:space="preserve"> </w:t>
            </w:r>
            <w:proofErr w:type="spellStart"/>
            <w:r w:rsidRPr="002269DF">
              <w:rPr>
                <w:rFonts w:ascii="Times New Roman" w:hAnsi="Times New Roman"/>
                <w:color w:val="000000"/>
                <w:spacing w:val="-2"/>
              </w:rPr>
              <w:t>Taxes</w:t>
            </w:r>
            <w:proofErr w:type="spellEnd"/>
            <w:r w:rsidRPr="002269DF">
              <w:rPr>
                <w:rFonts w:ascii="Times New Roman" w:hAnsi="Times New Roman"/>
                <w:color w:val="000000"/>
                <w:spacing w:val="-2"/>
              </w:rPr>
              <w:t>”, w którym wskazuje się ilość godzin potrzebnych w roku na wypełnienie obowiązków podatkowych.  W rankingu „</w:t>
            </w:r>
            <w:proofErr w:type="spellStart"/>
            <w:r w:rsidRPr="002269DF">
              <w:rPr>
                <w:rFonts w:ascii="Times New Roman" w:hAnsi="Times New Roman"/>
                <w:color w:val="000000"/>
                <w:spacing w:val="-2"/>
              </w:rPr>
              <w:t>Doing</w:t>
            </w:r>
            <w:proofErr w:type="spellEnd"/>
            <w:r w:rsidRPr="002269DF">
              <w:rPr>
                <w:rFonts w:ascii="Times New Roman" w:hAnsi="Times New Roman"/>
                <w:color w:val="000000"/>
                <w:spacing w:val="-2"/>
              </w:rPr>
              <w:t xml:space="preserve"> Business 2017” wskaźnik ten dla Polski </w:t>
            </w:r>
            <w:r w:rsidR="00CE00BC" w:rsidRPr="002269DF">
              <w:rPr>
                <w:rFonts w:ascii="Times New Roman" w:hAnsi="Times New Roman"/>
                <w:color w:val="000000"/>
                <w:spacing w:val="-2"/>
              </w:rPr>
              <w:t>wynosi 271 godzin</w:t>
            </w:r>
            <w:r w:rsidRPr="002269DF">
              <w:rPr>
                <w:rFonts w:ascii="Times New Roman" w:hAnsi="Times New Roman"/>
                <w:color w:val="000000"/>
                <w:spacing w:val="-2"/>
              </w:rPr>
              <w:t xml:space="preserve">, podczas gdy dla Austrii jest to 131 godzin, </w:t>
            </w:r>
            <w:r w:rsidR="00CE00BC" w:rsidRPr="002269DF">
              <w:rPr>
                <w:rFonts w:ascii="Times New Roman" w:hAnsi="Times New Roman"/>
                <w:color w:val="000000"/>
                <w:spacing w:val="-2"/>
              </w:rPr>
              <w:t xml:space="preserve">Belgii – 161, </w:t>
            </w:r>
            <w:r w:rsidRPr="002269DF">
              <w:rPr>
                <w:rFonts w:ascii="Times New Roman" w:hAnsi="Times New Roman"/>
                <w:color w:val="000000"/>
                <w:spacing w:val="-2"/>
              </w:rPr>
              <w:t>Francji – 139, Niemiec – 218, a dla Czech – 234.</w:t>
            </w:r>
          </w:p>
          <w:p w14:paraId="4BC081D5" w14:textId="77777777" w:rsidR="00CF7FD0" w:rsidRPr="002269DF" w:rsidRDefault="00CF7FD0" w:rsidP="006C1D99">
            <w:pPr>
              <w:spacing w:before="120" w:line="240" w:lineRule="auto"/>
              <w:jc w:val="both"/>
              <w:rPr>
                <w:rFonts w:ascii="Times New Roman" w:hAnsi="Times New Roman"/>
                <w:b/>
              </w:rPr>
            </w:pPr>
            <w:r w:rsidRPr="002269DF">
              <w:rPr>
                <w:rFonts w:ascii="Times New Roman" w:hAnsi="Times New Roman"/>
                <w:b/>
              </w:rPr>
              <w:t>- w zakresie podatku od towarów i usług</w:t>
            </w:r>
          </w:p>
          <w:p w14:paraId="3341ACA2" w14:textId="77777777" w:rsidR="00C27434" w:rsidRPr="002269DF" w:rsidRDefault="008C15EF" w:rsidP="006C1D99">
            <w:pPr>
              <w:spacing w:before="120" w:line="240" w:lineRule="auto"/>
              <w:jc w:val="both"/>
              <w:rPr>
                <w:rFonts w:ascii="Times New Roman" w:hAnsi="Times New Roman"/>
                <w:spacing w:val="-2"/>
              </w:rPr>
            </w:pPr>
            <w:r w:rsidRPr="002269DF">
              <w:rPr>
                <w:rFonts w:ascii="Times New Roman" w:hAnsi="Times New Roman"/>
              </w:rPr>
              <w:t>Brak jest informacji w zakresie rozwiązań w innych krajach nt.</w:t>
            </w:r>
            <w:r w:rsidR="00D0375C" w:rsidRPr="002269DF">
              <w:rPr>
                <w:rFonts w:ascii="Times New Roman" w:hAnsi="Times New Roman"/>
                <w:spacing w:val="-2"/>
              </w:rPr>
              <w:t xml:space="preserve"> terminu umożliwiającego wierzycielowi zastosowanie przepisów regulujących „ulgę na złe długi” </w:t>
            </w:r>
            <w:r w:rsidR="00D0375C" w:rsidRPr="002269DF">
              <w:rPr>
                <w:rFonts w:ascii="Times New Roman" w:hAnsi="Times New Roman"/>
              </w:rPr>
              <w:t xml:space="preserve">oraz </w:t>
            </w:r>
            <w:r w:rsidR="00D0375C" w:rsidRPr="002269DF">
              <w:rPr>
                <w:rFonts w:ascii="Times New Roman" w:hAnsi="Times New Roman"/>
                <w:spacing w:val="-2"/>
              </w:rPr>
              <w:t xml:space="preserve">terminu do złożenia korekty odliczonej kwoty podatku wynikającej </w:t>
            </w:r>
            <w:r w:rsidR="006202CB" w:rsidRPr="002269DF">
              <w:rPr>
                <w:rFonts w:ascii="Times New Roman" w:hAnsi="Times New Roman"/>
                <w:spacing w:val="-2"/>
              </w:rPr>
              <w:br/>
            </w:r>
            <w:r w:rsidR="00D0375C" w:rsidRPr="002269DF">
              <w:rPr>
                <w:rFonts w:ascii="Times New Roman" w:hAnsi="Times New Roman"/>
                <w:spacing w:val="-2"/>
              </w:rPr>
              <w:t>z nieuregulowanej należności udokumentowanej fakturą na dostawę towarów lub świadczenie usług.</w:t>
            </w:r>
          </w:p>
          <w:p w14:paraId="79889E09" w14:textId="77777777" w:rsidR="00FC1E1B" w:rsidRPr="002269DF" w:rsidRDefault="00754ECA" w:rsidP="006C1D99">
            <w:pPr>
              <w:spacing w:before="120" w:line="240" w:lineRule="auto"/>
              <w:jc w:val="both"/>
              <w:rPr>
                <w:rFonts w:ascii="Times New Roman" w:hAnsi="Times New Roman"/>
                <w:b/>
              </w:rPr>
            </w:pPr>
            <w:r w:rsidRPr="002269DF">
              <w:rPr>
                <w:rFonts w:ascii="Times New Roman" w:hAnsi="Times New Roman"/>
              </w:rPr>
              <w:t xml:space="preserve">- </w:t>
            </w:r>
            <w:r w:rsidRPr="002269DF">
              <w:rPr>
                <w:rFonts w:ascii="Times New Roman" w:hAnsi="Times New Roman"/>
                <w:b/>
              </w:rPr>
              <w:t>w zakresie prawa pracy</w:t>
            </w:r>
          </w:p>
          <w:p w14:paraId="0923C1A6" w14:textId="77777777" w:rsidR="00497F10" w:rsidRPr="002269DF" w:rsidRDefault="00497F10" w:rsidP="00331002">
            <w:pPr>
              <w:widowControl w:val="0"/>
              <w:autoSpaceDE w:val="0"/>
              <w:autoSpaceDN w:val="0"/>
              <w:adjustRightInd w:val="0"/>
              <w:spacing w:before="120" w:line="240" w:lineRule="auto"/>
              <w:jc w:val="both"/>
              <w:rPr>
                <w:rFonts w:ascii="Times New Roman" w:hAnsi="Times New Roman"/>
              </w:rPr>
            </w:pPr>
            <w:r w:rsidRPr="002269DF">
              <w:rPr>
                <w:rFonts w:ascii="Times New Roman" w:eastAsia="Times New Roman" w:hAnsi="Times New Roman"/>
              </w:rPr>
              <w:t xml:space="preserve">Zgodnie z przepisami prawa UE szkolenie okresowe pracowników co do zasady nie jest obowiązkowe. Zgodnie z art. 12 dyrektywy  89/391/EWG  w sprawie wprowadzenia środków w celu poprawy bezpieczeństwa i zdrowia pracowników w miejscu pracy (…) szkolenie powinno być powtarzane okresowo, jeżeli jest to konieczne.” Przykładowo w Wielkiej Brytanii szkolenia okresowe co do zasady nie są obowiązkowe. Szkolenie powinno być powtarzane jedynie </w:t>
            </w:r>
            <w:r w:rsidRPr="002269DF">
              <w:rPr>
                <w:rFonts w:ascii="Times New Roman" w:eastAsia="Times New Roman" w:hAnsi="Times New Roman"/>
              </w:rPr>
              <w:lastRenderedPageBreak/>
              <w:t>w stosownych przypadkach.</w:t>
            </w:r>
          </w:p>
          <w:p w14:paraId="3BC8B2E1" w14:textId="77777777" w:rsidR="00331002" w:rsidRPr="002269DF" w:rsidRDefault="00331002" w:rsidP="00331002">
            <w:pPr>
              <w:widowControl w:val="0"/>
              <w:autoSpaceDE w:val="0"/>
              <w:autoSpaceDN w:val="0"/>
              <w:adjustRightInd w:val="0"/>
              <w:spacing w:before="120" w:line="240" w:lineRule="auto"/>
              <w:jc w:val="both"/>
              <w:rPr>
                <w:rFonts w:ascii="Times New Roman" w:eastAsia="Times New Roman" w:hAnsi="Times New Roman"/>
                <w:b/>
              </w:rPr>
            </w:pPr>
            <w:r w:rsidRPr="002269DF">
              <w:rPr>
                <w:rFonts w:ascii="Times New Roman" w:eastAsia="Times New Roman" w:hAnsi="Times New Roman"/>
                <w:b/>
              </w:rPr>
              <w:t>- w zakresie prawa handlowego</w:t>
            </w:r>
          </w:p>
          <w:p w14:paraId="1D8336B6" w14:textId="77777777" w:rsidR="00331002" w:rsidRPr="002269DF" w:rsidRDefault="00331002" w:rsidP="00331002">
            <w:pPr>
              <w:widowControl w:val="0"/>
              <w:autoSpaceDE w:val="0"/>
              <w:autoSpaceDN w:val="0"/>
              <w:adjustRightInd w:val="0"/>
              <w:spacing w:before="120" w:line="240" w:lineRule="auto"/>
              <w:jc w:val="both"/>
              <w:rPr>
                <w:rFonts w:ascii="Times New Roman" w:eastAsia="Times New Roman" w:hAnsi="Times New Roman"/>
              </w:rPr>
            </w:pPr>
            <w:r w:rsidRPr="002269DF">
              <w:rPr>
                <w:rFonts w:ascii="Times New Roman" w:eastAsia="Times New Roman" w:hAnsi="Times New Roman"/>
              </w:rPr>
              <w:t xml:space="preserve">W zakresie składnia oświadczeń woli przez ostatniego członka zarządu (wszystkich członków zarządu równocześnie) państwa takie jak Stany Zjednoczone, Niemcy, Francja czy Wielka Brytania nie uregulowały przedmiotowej kwestii ustawowo. Ostatni członek zarządu może zrezygnować z pełnienia funkcji, niemniej jednak odpowiada za wyrządzoną tym szkodę, w obliczu złamania obowiązku lojalności wobec spółki i dbania o jej interesy. Orzecznictwo niemieckie wskazuje również, że odmowa dokonania wpisu o rezygnacji ostatniego członka zarządu przez sąd rejestrowy jest zgodna z prawem. </w:t>
            </w:r>
          </w:p>
          <w:p w14:paraId="4DD696D8" w14:textId="77777777" w:rsidR="00331002" w:rsidRPr="002269DF" w:rsidRDefault="00331002" w:rsidP="00331002">
            <w:pPr>
              <w:widowControl w:val="0"/>
              <w:autoSpaceDE w:val="0"/>
              <w:autoSpaceDN w:val="0"/>
              <w:adjustRightInd w:val="0"/>
              <w:spacing w:before="120" w:line="240" w:lineRule="auto"/>
              <w:jc w:val="both"/>
              <w:rPr>
                <w:rFonts w:ascii="Times New Roman" w:eastAsia="Times New Roman" w:hAnsi="Times New Roman"/>
              </w:rPr>
            </w:pPr>
            <w:r w:rsidRPr="002269DF">
              <w:rPr>
                <w:rFonts w:ascii="Times New Roman" w:eastAsia="Times New Roman" w:hAnsi="Times New Roman"/>
              </w:rPr>
              <w:t xml:space="preserve">Na Węgrzech, jeżeli jest to podyktowane interesem spółki i właściwy organ spółki nie powołał nowego członka zarządu, oświadczenie o rezygnacji jest skuteczne po upływie 60 dni. Przez ten czas członek zarządu musi wykonywać swoje obowiązki. W Czechach rezygnujący członek zarządu musi być zastąpiony w ciągu następnych 3 miesięcy. Niemniej, zainteresowana strona może zgłosić się do sądu o wyznaczenie tymczasowego członka zarządu, jeżeli zarząd nie jest w stanie wypełniać swoich obowiązków. </w:t>
            </w:r>
          </w:p>
          <w:p w14:paraId="51AB4FBC" w14:textId="77777777" w:rsidR="00331002" w:rsidRPr="002269DF" w:rsidRDefault="00331002" w:rsidP="00331002">
            <w:pPr>
              <w:widowControl w:val="0"/>
              <w:autoSpaceDE w:val="0"/>
              <w:autoSpaceDN w:val="0"/>
              <w:adjustRightInd w:val="0"/>
              <w:spacing w:before="120" w:line="240" w:lineRule="auto"/>
              <w:jc w:val="both"/>
              <w:rPr>
                <w:rFonts w:ascii="Times New Roman" w:eastAsia="Times New Roman" w:hAnsi="Times New Roman"/>
              </w:rPr>
            </w:pPr>
            <w:r w:rsidRPr="002269DF">
              <w:rPr>
                <w:rFonts w:ascii="Times New Roman" w:eastAsia="Times New Roman" w:hAnsi="Times New Roman"/>
              </w:rPr>
              <w:t>Pozostałe z zaproponowanych zmian nie są objęte harmonizacją prawa wspólnotoweg</w:t>
            </w:r>
            <w:r w:rsidR="00360008" w:rsidRPr="002269DF">
              <w:rPr>
                <w:rFonts w:ascii="Times New Roman" w:eastAsia="Times New Roman" w:hAnsi="Times New Roman"/>
              </w:rPr>
              <w:t>o. Dodatkowo należy wskazać, że </w:t>
            </w:r>
            <w:r w:rsidRPr="002269DF">
              <w:rPr>
                <w:rFonts w:ascii="Times New Roman" w:eastAsia="Times New Roman" w:hAnsi="Times New Roman"/>
              </w:rPr>
              <w:t>większość proponowanych zmian stanowi implementację do systemu prawnego orzecznictwa Sądu Najwyższego, wobec czego rozwiązania są wynikiem specyfiki funkcjonowania polskich spółek handlowych.</w:t>
            </w:r>
          </w:p>
          <w:p w14:paraId="341EB46B" w14:textId="77777777" w:rsidR="00970495" w:rsidRPr="002269DF" w:rsidRDefault="00970495" w:rsidP="00970495">
            <w:pPr>
              <w:widowControl w:val="0"/>
              <w:autoSpaceDE w:val="0"/>
              <w:autoSpaceDN w:val="0"/>
              <w:adjustRightInd w:val="0"/>
              <w:spacing w:before="120" w:line="240" w:lineRule="auto"/>
              <w:jc w:val="both"/>
              <w:rPr>
                <w:rFonts w:ascii="Times New Roman" w:eastAsia="Times New Roman" w:hAnsi="Times New Roman"/>
                <w:b/>
              </w:rPr>
            </w:pPr>
            <w:r w:rsidRPr="002269DF">
              <w:rPr>
                <w:rFonts w:ascii="Times New Roman" w:eastAsia="Times New Roman" w:hAnsi="Times New Roman"/>
                <w:b/>
              </w:rPr>
              <w:t>- w zakresie ustawy o administrowaniu obrotem</w:t>
            </w:r>
          </w:p>
          <w:p w14:paraId="18FC2D89" w14:textId="03258D98" w:rsidR="00331002" w:rsidRPr="002269DF" w:rsidRDefault="00970495" w:rsidP="007E2CE6">
            <w:pPr>
              <w:widowControl w:val="0"/>
              <w:autoSpaceDE w:val="0"/>
              <w:autoSpaceDN w:val="0"/>
              <w:adjustRightInd w:val="0"/>
              <w:spacing w:before="120" w:line="240" w:lineRule="auto"/>
              <w:jc w:val="both"/>
              <w:rPr>
                <w:rFonts w:ascii="Times New Roman" w:eastAsia="Times New Roman" w:hAnsi="Times New Roman"/>
              </w:rPr>
            </w:pPr>
            <w:r w:rsidRPr="002269DF">
              <w:rPr>
                <w:rFonts w:ascii="Times New Roman" w:eastAsia="Times New Roman" w:hAnsi="Times New Roman"/>
              </w:rPr>
              <w:t>Dokumenty nadzoru  udzielane przez państwa członkowskie z reguły nie mają formy decyzji administracyjnej, a</w:t>
            </w:r>
            <w:r w:rsidR="009060D1">
              <w:rPr>
                <w:rFonts w:ascii="Times New Roman" w:eastAsia="Times New Roman" w:hAnsi="Times New Roman"/>
              </w:rPr>
              <w:t> </w:t>
            </w:r>
            <w:r w:rsidRPr="002269DF">
              <w:rPr>
                <w:rFonts w:ascii="Times New Roman" w:eastAsia="Times New Roman" w:hAnsi="Times New Roman"/>
              </w:rPr>
              <w:t>ich</w:t>
            </w:r>
            <w:r w:rsidR="009060D1">
              <w:rPr>
                <w:rFonts w:ascii="Times New Roman" w:eastAsia="Times New Roman" w:hAnsi="Times New Roman"/>
              </w:rPr>
              <w:t> </w:t>
            </w:r>
            <w:r w:rsidRPr="002269DF">
              <w:rPr>
                <w:rFonts w:ascii="Times New Roman" w:eastAsia="Times New Roman" w:hAnsi="Times New Roman"/>
              </w:rPr>
              <w:t>szczegółowy wzór zamieszczony w przepisach obowiązuje we wszystkich krajach.</w:t>
            </w:r>
          </w:p>
          <w:p w14:paraId="1D6BB13F" w14:textId="77777777" w:rsidR="003336CD" w:rsidRPr="002269DF" w:rsidRDefault="003336CD" w:rsidP="003336CD">
            <w:pPr>
              <w:widowControl w:val="0"/>
              <w:autoSpaceDE w:val="0"/>
              <w:autoSpaceDN w:val="0"/>
              <w:adjustRightInd w:val="0"/>
              <w:spacing w:before="120" w:line="240" w:lineRule="auto"/>
              <w:jc w:val="both"/>
              <w:rPr>
                <w:rFonts w:ascii="Times New Roman" w:eastAsia="Times New Roman" w:hAnsi="Times New Roman"/>
                <w:b/>
              </w:rPr>
            </w:pPr>
            <w:r w:rsidRPr="002269DF">
              <w:rPr>
                <w:rFonts w:ascii="Times New Roman" w:eastAsia="Times New Roman" w:hAnsi="Times New Roman"/>
                <w:b/>
              </w:rPr>
              <w:t>- w zakresie bezpieczeństwa żywności i żywienia</w:t>
            </w:r>
          </w:p>
          <w:p w14:paraId="477B7482" w14:textId="77777777" w:rsidR="003336CD" w:rsidRPr="002269DF" w:rsidRDefault="003336CD" w:rsidP="003336CD">
            <w:pPr>
              <w:autoSpaceDE w:val="0"/>
              <w:autoSpaceDN w:val="0"/>
              <w:adjustRightInd w:val="0"/>
              <w:spacing w:before="240" w:line="240" w:lineRule="auto"/>
              <w:jc w:val="both"/>
              <w:rPr>
                <w:rFonts w:ascii="Times New Roman" w:hAnsi="Times New Roman"/>
                <w:color w:val="000000"/>
                <w:lang w:eastAsia="pl-PL"/>
              </w:rPr>
            </w:pPr>
            <w:r w:rsidRPr="002269DF">
              <w:rPr>
                <w:rFonts w:ascii="Times New Roman" w:hAnsi="Times New Roman"/>
                <w:color w:val="000000"/>
                <w:lang w:eastAsia="pl-PL"/>
              </w:rPr>
              <w:t xml:space="preserve">Zgodnie z przepisami ustawy o bezpieczeństwie żywności i żywienia nie jest dopuszczalny odbiór mobilnego zakładu gastronomicznego przez inspekcję sanitarną w innym mieście powiatowym w danym województwie niż jest zarejestrowany sam przedsiębiorca. Przedsiębiorca chcący rozpocząć gastronomiczną działalność mobilną w miejscowości turystycznej, posiadający siedzibę np. w Warszawie, musi zgłosić się do powiatowego inspektora sanitarnego właściwego ze względu na tę siedzibę.  </w:t>
            </w:r>
          </w:p>
          <w:p w14:paraId="66318906" w14:textId="77777777" w:rsidR="003336CD" w:rsidRPr="002269DF" w:rsidRDefault="003336CD" w:rsidP="003336CD">
            <w:pPr>
              <w:widowControl w:val="0"/>
              <w:autoSpaceDE w:val="0"/>
              <w:autoSpaceDN w:val="0"/>
              <w:adjustRightInd w:val="0"/>
              <w:spacing w:before="120" w:line="240" w:lineRule="auto"/>
              <w:jc w:val="both"/>
              <w:rPr>
                <w:rFonts w:ascii="Times New Roman" w:hAnsi="Times New Roman"/>
                <w:color w:val="000000"/>
                <w:lang w:eastAsia="pl-PL"/>
              </w:rPr>
            </w:pPr>
            <w:r w:rsidRPr="002269DF">
              <w:rPr>
                <w:rFonts w:ascii="Times New Roman" w:hAnsi="Times New Roman"/>
                <w:color w:val="000000"/>
                <w:lang w:eastAsia="pl-PL"/>
              </w:rPr>
              <w:t>Poprzez nowelizację ustawy o bezpieczeństwie żywności i żywienia zostanie zapewniona możliwość odbioru mobilnej jednostki, w której prowadzona jest przez przedsiębiorcę działalność gastronomiczna, przez inspekcję sanitarną właściwą ze względu nie tylko na siedzibę przedsiębiorcy, ale także ze względu na planowane miejsce prowadzenia tej działalności. Wybór właściwej  inspekcji będzie zależny zatem od woli przedsiębiorcy</w:t>
            </w:r>
            <w:r w:rsidR="00C31A18">
              <w:rPr>
                <w:rFonts w:ascii="Times New Roman" w:hAnsi="Times New Roman"/>
                <w:color w:val="000000"/>
                <w:lang w:eastAsia="pl-PL"/>
              </w:rPr>
              <w:t>.</w:t>
            </w:r>
          </w:p>
          <w:p w14:paraId="1562974E" w14:textId="77777777" w:rsidR="00250010" w:rsidRPr="002269DF" w:rsidRDefault="00250010" w:rsidP="00250010">
            <w:pPr>
              <w:spacing w:before="120" w:line="240" w:lineRule="auto"/>
              <w:jc w:val="both"/>
              <w:rPr>
                <w:rFonts w:ascii="Times New Roman" w:hAnsi="Times New Roman"/>
                <w:b/>
                <w:color w:val="000000"/>
              </w:rPr>
            </w:pPr>
            <w:r w:rsidRPr="002269DF">
              <w:rPr>
                <w:rFonts w:ascii="Times New Roman" w:hAnsi="Times New Roman"/>
                <w:b/>
                <w:color w:val="000000"/>
              </w:rPr>
              <w:t>- w zakresie ustawy prawo o ruchu drogowym</w:t>
            </w:r>
          </w:p>
          <w:p w14:paraId="025342F0" w14:textId="77777777" w:rsidR="00250010" w:rsidRPr="002269DF" w:rsidRDefault="00250010" w:rsidP="00250010">
            <w:pPr>
              <w:widowControl w:val="0"/>
              <w:autoSpaceDE w:val="0"/>
              <w:autoSpaceDN w:val="0"/>
              <w:adjustRightInd w:val="0"/>
              <w:spacing w:before="120" w:line="240" w:lineRule="auto"/>
              <w:jc w:val="both"/>
              <w:rPr>
                <w:rFonts w:ascii="Times New Roman" w:eastAsia="Times New Roman" w:hAnsi="Times New Roman"/>
                <w:lang w:eastAsia="pl-PL"/>
              </w:rPr>
            </w:pPr>
            <w:r w:rsidRPr="002269DF">
              <w:rPr>
                <w:rFonts w:ascii="Times New Roman" w:eastAsia="Times New Roman" w:hAnsi="Times New Roman"/>
                <w:lang w:eastAsia="pl-PL"/>
              </w:rPr>
              <w:t>W Unii Europejskiej dopuszczenie do użytkowania motocykli z napędem elektrycznym jest dozwolone. Zgodnie z art. 6 ust. 3 rozporządzenia Parlamentu Europejskiego i Rady (UE) NR 168/2013 w sprawie homologacji i nadzoru rynku pojazdów dwu- lub trzykołowych oraz czterokołowców, państwa członkowskie nie zakazują, nie ograniczają ani nie utrudniają wprowadzania do obrotu, rejestracji ani dopuszczenia pojazdów, układów, komponentów lub oddzielnych zespołów technicznych z powodów dotyczących aspektów ich budowy i funkcjonowania obję</w:t>
            </w:r>
            <w:r w:rsidRPr="002269DF">
              <w:rPr>
                <w:rFonts w:ascii="Times New Roman" w:eastAsia="Times New Roman" w:hAnsi="Times New Roman"/>
                <w:lang w:eastAsia="pl-PL"/>
              </w:rPr>
              <w:softHyphen/>
              <w:t>tych zakresem niniejszego rozporządzenia, jeśli spełniają one jego wymogi.</w:t>
            </w:r>
          </w:p>
          <w:p w14:paraId="4F3B9C1F" w14:textId="77777777" w:rsidR="00D518CB" w:rsidRPr="002269DF" w:rsidRDefault="00D518CB" w:rsidP="00D518CB">
            <w:pPr>
              <w:widowControl w:val="0"/>
              <w:autoSpaceDE w:val="0"/>
              <w:autoSpaceDN w:val="0"/>
              <w:adjustRightInd w:val="0"/>
              <w:spacing w:before="120" w:line="240" w:lineRule="auto"/>
              <w:jc w:val="both"/>
              <w:rPr>
                <w:rFonts w:ascii="Times New Roman" w:eastAsia="Times New Roman" w:hAnsi="Times New Roman"/>
                <w:b/>
              </w:rPr>
            </w:pPr>
            <w:r w:rsidRPr="002269DF">
              <w:rPr>
                <w:rFonts w:ascii="Times New Roman" w:eastAsia="Times New Roman" w:hAnsi="Times New Roman"/>
                <w:b/>
              </w:rPr>
              <w:t>- w zakresie ustawy o wychowaniu w trzeźwości i przeciwdziałaniu alkoholizmowi</w:t>
            </w:r>
          </w:p>
          <w:p w14:paraId="3CE12E2D" w14:textId="77777777" w:rsidR="00D518CB" w:rsidRPr="002269DF" w:rsidRDefault="00D518CB" w:rsidP="00D518CB">
            <w:pPr>
              <w:widowControl w:val="0"/>
              <w:autoSpaceDE w:val="0"/>
              <w:autoSpaceDN w:val="0"/>
              <w:adjustRightInd w:val="0"/>
              <w:spacing w:before="120" w:line="240" w:lineRule="auto"/>
              <w:jc w:val="both"/>
              <w:rPr>
                <w:rFonts w:ascii="Times New Roman" w:eastAsia="Times New Roman" w:hAnsi="Times New Roman"/>
                <w:sz w:val="24"/>
                <w:szCs w:val="20"/>
              </w:rPr>
            </w:pPr>
            <w:r w:rsidRPr="002269DF">
              <w:rPr>
                <w:rFonts w:ascii="Times New Roman" w:eastAsia="Times New Roman" w:hAnsi="Times New Roman"/>
              </w:rPr>
              <w:t>Problematyka obrotu alkoholem nie jest objęta harmonizacją prawa wspólnotowego. Poszczególne państwa członkowskie regulują handel hurtowy lub częściej detaliczny w różny sposób. Od bardzo restrykcyjnych przepisów, które obowiązują np. w Szwecji do bardziej liberalnych np. w Grecji.</w:t>
            </w:r>
          </w:p>
        </w:tc>
      </w:tr>
      <w:tr w:rsidR="00AB0F2F" w:rsidRPr="002269DF" w14:paraId="745737DA" w14:textId="77777777" w:rsidTr="00676C8D">
        <w:trPr>
          <w:gridAfter w:val="1"/>
          <w:wAfter w:w="10" w:type="dxa"/>
          <w:trHeight w:val="359"/>
        </w:trPr>
        <w:tc>
          <w:tcPr>
            <w:tcW w:w="10937" w:type="dxa"/>
            <w:gridSpan w:val="29"/>
            <w:shd w:val="clear" w:color="auto" w:fill="99CCFF"/>
            <w:vAlign w:val="center"/>
          </w:tcPr>
          <w:p w14:paraId="3691041A" w14:textId="77777777" w:rsidR="00AB0F2F" w:rsidRPr="002269DF" w:rsidRDefault="00AB0F2F" w:rsidP="001A4089">
            <w:pPr>
              <w:numPr>
                <w:ilvl w:val="0"/>
                <w:numId w:val="1"/>
              </w:numPr>
              <w:spacing w:before="60" w:after="60" w:line="240" w:lineRule="auto"/>
              <w:ind w:left="318" w:hanging="284"/>
              <w:jc w:val="both"/>
              <w:rPr>
                <w:rFonts w:ascii="Times New Roman" w:hAnsi="Times New Roman"/>
                <w:b/>
              </w:rPr>
            </w:pPr>
            <w:r w:rsidRPr="002269DF">
              <w:rPr>
                <w:rFonts w:ascii="Times New Roman" w:hAnsi="Times New Roman"/>
                <w:b/>
              </w:rPr>
              <w:lastRenderedPageBreak/>
              <w:t>Podmioty, na które oddziałuje projekt</w:t>
            </w:r>
          </w:p>
        </w:tc>
      </w:tr>
      <w:tr w:rsidR="00AB0F2F" w:rsidRPr="002269DF" w14:paraId="44084D15" w14:textId="77777777" w:rsidTr="00C86E37">
        <w:trPr>
          <w:gridAfter w:val="1"/>
          <w:wAfter w:w="10" w:type="dxa"/>
          <w:trHeight w:val="142"/>
        </w:trPr>
        <w:tc>
          <w:tcPr>
            <w:tcW w:w="1844" w:type="dxa"/>
            <w:gridSpan w:val="2"/>
            <w:shd w:val="clear" w:color="auto" w:fill="auto"/>
          </w:tcPr>
          <w:p w14:paraId="5106A14D" w14:textId="77777777" w:rsidR="00AB0F2F" w:rsidRPr="002269DF" w:rsidRDefault="00AB0F2F" w:rsidP="00D75DD2">
            <w:pPr>
              <w:spacing w:before="40" w:line="240" w:lineRule="auto"/>
              <w:jc w:val="center"/>
              <w:rPr>
                <w:rFonts w:ascii="Times New Roman" w:hAnsi="Times New Roman"/>
                <w:spacing w:val="-2"/>
              </w:rPr>
            </w:pPr>
            <w:r w:rsidRPr="002269DF">
              <w:rPr>
                <w:rFonts w:ascii="Times New Roman" w:hAnsi="Times New Roman"/>
                <w:spacing w:val="-2"/>
              </w:rPr>
              <w:t>Grupa</w:t>
            </w:r>
          </w:p>
        </w:tc>
        <w:tc>
          <w:tcPr>
            <w:tcW w:w="5244" w:type="dxa"/>
            <w:gridSpan w:val="16"/>
            <w:shd w:val="clear" w:color="auto" w:fill="auto"/>
          </w:tcPr>
          <w:p w14:paraId="0666F199" w14:textId="77777777" w:rsidR="00AB0F2F" w:rsidRPr="002269DF" w:rsidRDefault="00AB0F2F" w:rsidP="00D75DD2">
            <w:pPr>
              <w:spacing w:before="40" w:line="240" w:lineRule="auto"/>
              <w:jc w:val="center"/>
              <w:rPr>
                <w:rFonts w:ascii="Times New Roman" w:hAnsi="Times New Roman"/>
                <w:spacing w:val="-2"/>
              </w:rPr>
            </w:pPr>
            <w:r w:rsidRPr="002269DF">
              <w:rPr>
                <w:rFonts w:ascii="Times New Roman" w:hAnsi="Times New Roman"/>
                <w:spacing w:val="-2"/>
              </w:rPr>
              <w:t>Wielkość</w:t>
            </w:r>
          </w:p>
        </w:tc>
        <w:tc>
          <w:tcPr>
            <w:tcW w:w="1701" w:type="dxa"/>
            <w:gridSpan w:val="7"/>
            <w:shd w:val="clear" w:color="auto" w:fill="auto"/>
          </w:tcPr>
          <w:p w14:paraId="364F4044" w14:textId="77777777" w:rsidR="00AB0F2F" w:rsidRPr="002269DF" w:rsidRDefault="00AB0F2F" w:rsidP="00D75DD2">
            <w:pPr>
              <w:spacing w:before="40" w:line="240" w:lineRule="auto"/>
              <w:jc w:val="center"/>
              <w:rPr>
                <w:rFonts w:ascii="Times New Roman" w:hAnsi="Times New Roman"/>
                <w:spacing w:val="-2"/>
              </w:rPr>
            </w:pPr>
            <w:r w:rsidRPr="002269DF">
              <w:rPr>
                <w:rFonts w:ascii="Times New Roman" w:hAnsi="Times New Roman"/>
                <w:spacing w:val="-2"/>
              </w:rPr>
              <w:t>Źródło danych</w:t>
            </w:r>
            <w:r w:rsidRPr="002269DF" w:rsidDel="00260F33">
              <w:rPr>
                <w:rFonts w:ascii="Times New Roman" w:hAnsi="Times New Roman"/>
                <w:spacing w:val="-2"/>
              </w:rPr>
              <w:t xml:space="preserve"> </w:t>
            </w:r>
          </w:p>
        </w:tc>
        <w:tc>
          <w:tcPr>
            <w:tcW w:w="2148" w:type="dxa"/>
            <w:gridSpan w:val="4"/>
            <w:shd w:val="clear" w:color="auto" w:fill="auto"/>
          </w:tcPr>
          <w:p w14:paraId="196147B3" w14:textId="77777777" w:rsidR="00AB0F2F" w:rsidRPr="002269DF" w:rsidRDefault="00AB0F2F" w:rsidP="00D75DD2">
            <w:pPr>
              <w:spacing w:before="40" w:line="240" w:lineRule="auto"/>
              <w:jc w:val="center"/>
              <w:rPr>
                <w:rFonts w:ascii="Times New Roman" w:hAnsi="Times New Roman"/>
                <w:spacing w:val="-2"/>
              </w:rPr>
            </w:pPr>
            <w:r w:rsidRPr="002269DF">
              <w:rPr>
                <w:rFonts w:ascii="Times New Roman" w:hAnsi="Times New Roman"/>
                <w:spacing w:val="-2"/>
              </w:rPr>
              <w:t>Oddziaływanie</w:t>
            </w:r>
          </w:p>
        </w:tc>
      </w:tr>
      <w:tr w:rsidR="00535CA3" w:rsidRPr="002269DF" w14:paraId="1CA8D1AD" w14:textId="77777777" w:rsidTr="00C86E37">
        <w:trPr>
          <w:gridAfter w:val="1"/>
          <w:wAfter w:w="10" w:type="dxa"/>
          <w:trHeight w:val="142"/>
        </w:trPr>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14:paraId="0D81FB2B" w14:textId="77777777" w:rsidR="00535CA3" w:rsidRPr="002269DF" w:rsidRDefault="00535CA3" w:rsidP="00495D6D">
            <w:pPr>
              <w:spacing w:before="40" w:line="240" w:lineRule="auto"/>
              <w:rPr>
                <w:rFonts w:ascii="Times New Roman" w:hAnsi="Times New Roman"/>
                <w:spacing w:val="-2"/>
              </w:rPr>
            </w:pPr>
            <w:r w:rsidRPr="002269DF">
              <w:rPr>
                <w:rFonts w:ascii="Times New Roman" w:hAnsi="Times New Roman"/>
                <w:spacing w:val="-2"/>
              </w:rPr>
              <w:t>Podatnicy podatku dochodowego prowadzący działalność gospodarczą opodatkowani wg skali podatkowej lub 19% liniową stawką podatku</w:t>
            </w:r>
          </w:p>
        </w:tc>
        <w:tc>
          <w:tcPr>
            <w:tcW w:w="5244" w:type="dxa"/>
            <w:gridSpan w:val="16"/>
            <w:tcBorders>
              <w:top w:val="single" w:sz="4" w:space="0" w:color="auto"/>
              <w:left w:val="single" w:sz="4" w:space="0" w:color="auto"/>
              <w:bottom w:val="single" w:sz="4" w:space="0" w:color="auto"/>
              <w:right w:val="single" w:sz="4" w:space="0" w:color="auto"/>
            </w:tcBorders>
            <w:shd w:val="clear" w:color="auto" w:fill="auto"/>
          </w:tcPr>
          <w:p w14:paraId="4E8D609C" w14:textId="77777777" w:rsidR="00535CA3" w:rsidRPr="002269DF" w:rsidRDefault="00535CA3" w:rsidP="00495D6D">
            <w:pPr>
              <w:spacing w:before="40" w:line="240" w:lineRule="auto"/>
              <w:jc w:val="center"/>
              <w:rPr>
                <w:rFonts w:ascii="Times New Roman" w:hAnsi="Times New Roman"/>
                <w:spacing w:val="-2"/>
              </w:rPr>
            </w:pPr>
            <w:r w:rsidRPr="002269DF">
              <w:rPr>
                <w:rFonts w:ascii="Times New Roman" w:hAnsi="Times New Roman"/>
                <w:spacing w:val="-2"/>
              </w:rPr>
              <w:t xml:space="preserve"> ok. 1,8 mln </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20C01F29" w14:textId="77777777" w:rsidR="00535CA3" w:rsidRPr="002269DF" w:rsidRDefault="00535CA3" w:rsidP="00495D6D">
            <w:pPr>
              <w:spacing w:before="40" w:line="240" w:lineRule="auto"/>
              <w:jc w:val="center"/>
              <w:rPr>
                <w:rFonts w:ascii="Times New Roman" w:hAnsi="Times New Roman"/>
                <w:spacing w:val="-2"/>
              </w:rPr>
            </w:pPr>
            <w:r w:rsidRPr="002269DF">
              <w:rPr>
                <w:rFonts w:ascii="Times New Roman" w:hAnsi="Times New Roman"/>
                <w:spacing w:val="-2"/>
              </w:rPr>
              <w:t>Deklaracje podatkowe</w:t>
            </w:r>
          </w:p>
          <w:p w14:paraId="05781D3F" w14:textId="77777777" w:rsidR="00A67901" w:rsidRPr="002269DF" w:rsidRDefault="00A67901" w:rsidP="00495D6D">
            <w:pPr>
              <w:spacing w:before="40" w:line="240" w:lineRule="auto"/>
              <w:jc w:val="center"/>
              <w:rPr>
                <w:rFonts w:ascii="Times New Roman" w:hAnsi="Times New Roman"/>
                <w:spacing w:val="-2"/>
              </w:rPr>
            </w:pPr>
            <w:r w:rsidRPr="002269DF">
              <w:rPr>
                <w:rFonts w:ascii="Times New Roman" w:hAnsi="Times New Roman"/>
                <w:spacing w:val="-2"/>
              </w:rPr>
              <w:t>(MF)</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tcPr>
          <w:p w14:paraId="6C06B9F3" w14:textId="6B8B2236" w:rsidR="00535CA3" w:rsidRPr="002269DF" w:rsidRDefault="00535CA3" w:rsidP="00495D6D">
            <w:pPr>
              <w:spacing w:before="40" w:line="240" w:lineRule="auto"/>
              <w:rPr>
                <w:rFonts w:ascii="Times New Roman" w:hAnsi="Times New Roman"/>
                <w:spacing w:val="-2"/>
              </w:rPr>
            </w:pPr>
            <w:r w:rsidRPr="002269DF">
              <w:rPr>
                <w:rFonts w:ascii="Times New Roman" w:hAnsi="Times New Roman"/>
                <w:spacing w:val="-2"/>
              </w:rPr>
              <w:t>Poprawa warunków prowadzenia działalności gospodarczej</w:t>
            </w:r>
            <w:r w:rsidR="007850A6" w:rsidRPr="002269DF">
              <w:rPr>
                <w:rFonts w:ascii="Times New Roman" w:hAnsi="Times New Roman"/>
                <w:spacing w:val="-2"/>
              </w:rPr>
              <w:t xml:space="preserve"> poprzez</w:t>
            </w:r>
            <w:r w:rsidR="009060D1">
              <w:rPr>
                <w:rFonts w:ascii="Times New Roman" w:hAnsi="Times New Roman"/>
                <w:spacing w:val="-2"/>
              </w:rPr>
              <w:t> </w:t>
            </w:r>
            <w:r w:rsidR="007850A6" w:rsidRPr="002269DF">
              <w:rPr>
                <w:rFonts w:ascii="Times New Roman" w:hAnsi="Times New Roman"/>
                <w:spacing w:val="-2"/>
              </w:rPr>
              <w:t>zmniejszenie obowiązków informacyjnych nałożonych na</w:t>
            </w:r>
            <w:r w:rsidR="009060D1">
              <w:rPr>
                <w:rFonts w:ascii="Times New Roman" w:hAnsi="Times New Roman"/>
                <w:spacing w:val="-2"/>
              </w:rPr>
              <w:t> </w:t>
            </w:r>
            <w:r w:rsidR="007850A6" w:rsidRPr="002269DF">
              <w:rPr>
                <w:rFonts w:ascii="Times New Roman" w:hAnsi="Times New Roman"/>
                <w:spacing w:val="-2"/>
              </w:rPr>
              <w:t>podatników, co</w:t>
            </w:r>
            <w:r w:rsidR="009060D1">
              <w:rPr>
                <w:rFonts w:ascii="Times New Roman" w:hAnsi="Times New Roman"/>
                <w:spacing w:val="-2"/>
              </w:rPr>
              <w:t> </w:t>
            </w:r>
            <w:r w:rsidR="007850A6" w:rsidRPr="002269DF">
              <w:rPr>
                <w:rFonts w:ascii="Times New Roman" w:hAnsi="Times New Roman"/>
                <w:spacing w:val="-2"/>
              </w:rPr>
              <w:t>przyczyni się do</w:t>
            </w:r>
            <w:r w:rsidR="009060D1">
              <w:rPr>
                <w:rFonts w:ascii="Times New Roman" w:hAnsi="Times New Roman"/>
                <w:spacing w:val="-2"/>
              </w:rPr>
              <w:t> </w:t>
            </w:r>
            <w:r w:rsidR="007850A6" w:rsidRPr="002269DF">
              <w:rPr>
                <w:rFonts w:ascii="Times New Roman" w:hAnsi="Times New Roman"/>
                <w:spacing w:val="-2"/>
              </w:rPr>
              <w:t xml:space="preserve">zmniejszenia </w:t>
            </w:r>
            <w:r w:rsidR="007850A6" w:rsidRPr="002269DF">
              <w:rPr>
                <w:rFonts w:ascii="Times New Roman" w:hAnsi="Times New Roman"/>
                <w:spacing w:val="-2"/>
              </w:rPr>
              <w:lastRenderedPageBreak/>
              <w:t>zbędnych obciążeń biurokratycznych</w:t>
            </w:r>
            <w:r w:rsidRPr="002269DF">
              <w:rPr>
                <w:rFonts w:ascii="Times New Roman" w:hAnsi="Times New Roman"/>
                <w:spacing w:val="-2"/>
              </w:rPr>
              <w:t>.</w:t>
            </w:r>
          </w:p>
          <w:p w14:paraId="591884BB" w14:textId="555BA0BB" w:rsidR="006146E5" w:rsidRPr="002269DF" w:rsidRDefault="006146E5" w:rsidP="009060D1">
            <w:pPr>
              <w:spacing w:before="40" w:line="240" w:lineRule="auto"/>
              <w:rPr>
                <w:rFonts w:ascii="Times New Roman" w:hAnsi="Times New Roman"/>
                <w:spacing w:val="-2"/>
              </w:rPr>
            </w:pPr>
            <w:r w:rsidRPr="002269DF">
              <w:rPr>
                <w:rFonts w:ascii="Times New Roman" w:hAnsi="Times New Roman"/>
                <w:spacing w:val="-2"/>
              </w:rPr>
              <w:t>Poprawa płynności finansowej przedsiębiorców dzięki propozycji umożliwiającej rozliczenie jednorazowe straty do</w:t>
            </w:r>
            <w:r w:rsidR="009060D1">
              <w:rPr>
                <w:rFonts w:ascii="Times New Roman" w:hAnsi="Times New Roman"/>
                <w:spacing w:val="-2"/>
              </w:rPr>
              <w:t> </w:t>
            </w:r>
            <w:r w:rsidRPr="002269DF">
              <w:rPr>
                <w:rFonts w:ascii="Times New Roman" w:hAnsi="Times New Roman"/>
                <w:spacing w:val="-2"/>
              </w:rPr>
              <w:t>5 mln zł oraz</w:t>
            </w:r>
            <w:r w:rsidR="009060D1">
              <w:rPr>
                <w:rFonts w:ascii="Times New Roman" w:hAnsi="Times New Roman"/>
                <w:spacing w:val="-2"/>
              </w:rPr>
              <w:t> </w:t>
            </w:r>
            <w:r w:rsidRPr="002269DF">
              <w:rPr>
                <w:rFonts w:ascii="Times New Roman" w:hAnsi="Times New Roman"/>
                <w:spacing w:val="-2"/>
              </w:rPr>
              <w:t xml:space="preserve">propozycji </w:t>
            </w:r>
            <w:r w:rsidRPr="002269DF">
              <w:rPr>
                <w:rFonts w:ascii="Times New Roman" w:hAnsi="Times New Roman"/>
              </w:rPr>
              <w:t>ograniczającej sytuacje, w których terminy zapłaty ustalane przez podmioty publiczne na rzecz przedsiębiorców przekraczają 30 dni.</w:t>
            </w:r>
            <w:r w:rsidRPr="002269DF">
              <w:rPr>
                <w:rFonts w:ascii="Times New Roman" w:hAnsi="Times New Roman"/>
                <w:spacing w:val="-2"/>
              </w:rPr>
              <w:t xml:space="preserve"> </w:t>
            </w:r>
          </w:p>
        </w:tc>
      </w:tr>
      <w:tr w:rsidR="00CF4990" w:rsidRPr="002269DF" w14:paraId="306CBCCD" w14:textId="77777777" w:rsidTr="00C86E37">
        <w:trPr>
          <w:gridAfter w:val="1"/>
          <w:wAfter w:w="10" w:type="dxa"/>
          <w:trHeight w:val="142"/>
        </w:trPr>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14:paraId="1380A83A" w14:textId="77777777" w:rsidR="00CF4990" w:rsidRPr="002269DF" w:rsidRDefault="00CF4990" w:rsidP="00495D6D">
            <w:pPr>
              <w:spacing w:before="40" w:line="240" w:lineRule="auto"/>
              <w:rPr>
                <w:rFonts w:ascii="Times New Roman" w:hAnsi="Times New Roman"/>
                <w:spacing w:val="-2"/>
              </w:rPr>
            </w:pPr>
            <w:r w:rsidRPr="002269DF">
              <w:rPr>
                <w:rFonts w:ascii="Times New Roman" w:hAnsi="Times New Roman"/>
                <w:spacing w:val="-2"/>
              </w:rPr>
              <w:lastRenderedPageBreak/>
              <w:t>Podatnicy podatku dochodowego od osób prawnych</w:t>
            </w:r>
          </w:p>
        </w:tc>
        <w:tc>
          <w:tcPr>
            <w:tcW w:w="5244" w:type="dxa"/>
            <w:gridSpan w:val="16"/>
            <w:tcBorders>
              <w:top w:val="single" w:sz="4" w:space="0" w:color="auto"/>
              <w:left w:val="single" w:sz="4" w:space="0" w:color="auto"/>
              <w:bottom w:val="single" w:sz="4" w:space="0" w:color="auto"/>
              <w:right w:val="single" w:sz="4" w:space="0" w:color="auto"/>
            </w:tcBorders>
            <w:shd w:val="clear" w:color="auto" w:fill="auto"/>
          </w:tcPr>
          <w:p w14:paraId="49C26C65" w14:textId="77777777" w:rsidR="00CF4990" w:rsidRPr="002269DF" w:rsidRDefault="00CF4990" w:rsidP="00495D6D">
            <w:pPr>
              <w:spacing w:before="40" w:line="240" w:lineRule="auto"/>
              <w:jc w:val="center"/>
              <w:rPr>
                <w:rFonts w:ascii="Times New Roman" w:hAnsi="Times New Roman"/>
                <w:spacing w:val="-2"/>
              </w:rPr>
            </w:pPr>
            <w:r w:rsidRPr="002269DF">
              <w:rPr>
                <w:rFonts w:ascii="Times New Roman" w:hAnsi="Times New Roman"/>
                <w:spacing w:val="-2"/>
              </w:rPr>
              <w:t xml:space="preserve"> ok. 0,5 mln </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42C548CA" w14:textId="77777777" w:rsidR="00CF4990" w:rsidRPr="002269DF" w:rsidRDefault="00CF4990" w:rsidP="00495D6D">
            <w:pPr>
              <w:spacing w:before="40" w:line="240" w:lineRule="auto"/>
              <w:jc w:val="center"/>
              <w:rPr>
                <w:rFonts w:ascii="Times New Roman" w:hAnsi="Times New Roman"/>
                <w:spacing w:val="-2"/>
              </w:rPr>
            </w:pPr>
            <w:r w:rsidRPr="002269DF">
              <w:rPr>
                <w:rFonts w:ascii="Times New Roman" w:hAnsi="Times New Roman"/>
                <w:spacing w:val="-2"/>
              </w:rPr>
              <w:t>Deklaracje podatkowe</w:t>
            </w:r>
          </w:p>
          <w:p w14:paraId="25864F04" w14:textId="77777777" w:rsidR="00A67901" w:rsidRPr="002269DF" w:rsidRDefault="00A67901" w:rsidP="00495D6D">
            <w:pPr>
              <w:spacing w:before="40" w:line="240" w:lineRule="auto"/>
              <w:jc w:val="center"/>
              <w:rPr>
                <w:rFonts w:ascii="Times New Roman" w:hAnsi="Times New Roman"/>
                <w:spacing w:val="-2"/>
              </w:rPr>
            </w:pPr>
            <w:r w:rsidRPr="002269DF">
              <w:rPr>
                <w:rFonts w:ascii="Times New Roman" w:hAnsi="Times New Roman"/>
                <w:spacing w:val="-2"/>
              </w:rPr>
              <w:t>(MF)</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tcPr>
          <w:p w14:paraId="2C9219EE" w14:textId="1392E797" w:rsidR="00CF4990" w:rsidRPr="002269DF" w:rsidRDefault="007850A6" w:rsidP="00495D6D">
            <w:pPr>
              <w:spacing w:before="40" w:line="240" w:lineRule="auto"/>
              <w:rPr>
                <w:rFonts w:ascii="Times New Roman" w:hAnsi="Times New Roman"/>
                <w:spacing w:val="-2"/>
              </w:rPr>
            </w:pPr>
            <w:r w:rsidRPr="002269DF">
              <w:rPr>
                <w:rFonts w:ascii="Times New Roman" w:hAnsi="Times New Roman"/>
                <w:spacing w:val="-2"/>
              </w:rPr>
              <w:t>Poprawa warunków dokonywania rozliczeń z tytułu podatku dochodowego, polegająca na zaoszczędzeniu czasu podatnika, poprzez ograniczenie sporządzania i</w:t>
            </w:r>
            <w:r w:rsidR="00997755" w:rsidRPr="002269DF">
              <w:rPr>
                <w:rFonts w:ascii="Times New Roman" w:hAnsi="Times New Roman"/>
                <w:spacing w:val="-2"/>
              </w:rPr>
              <w:t> </w:t>
            </w:r>
            <w:r w:rsidRPr="002269DF">
              <w:rPr>
                <w:rFonts w:ascii="Times New Roman" w:hAnsi="Times New Roman"/>
                <w:spacing w:val="-2"/>
              </w:rPr>
              <w:t>przekazywania dodatkowych dokumentów (informacji) do urzędu skarbowego, wyłącznie do informacji przeka</w:t>
            </w:r>
            <w:r w:rsidR="00A62528" w:rsidRPr="002269DF">
              <w:rPr>
                <w:rFonts w:ascii="Times New Roman" w:hAnsi="Times New Roman"/>
                <w:spacing w:val="-2"/>
              </w:rPr>
              <w:t>zywanych na</w:t>
            </w:r>
            <w:r w:rsidR="009060D1">
              <w:rPr>
                <w:rFonts w:ascii="Times New Roman" w:hAnsi="Times New Roman"/>
                <w:spacing w:val="-2"/>
              </w:rPr>
              <w:t> </w:t>
            </w:r>
            <w:r w:rsidR="00A62528" w:rsidRPr="002269DF">
              <w:rPr>
                <w:rFonts w:ascii="Times New Roman" w:hAnsi="Times New Roman"/>
                <w:spacing w:val="-2"/>
              </w:rPr>
              <w:t>zeznaniu podatkowym</w:t>
            </w:r>
            <w:r w:rsidRPr="002269DF">
              <w:rPr>
                <w:rFonts w:ascii="Times New Roman" w:hAnsi="Times New Roman"/>
                <w:spacing w:val="-2"/>
              </w:rPr>
              <w:t>.</w:t>
            </w:r>
          </w:p>
          <w:p w14:paraId="7BF99241" w14:textId="290AA6AF" w:rsidR="006146E5" w:rsidRPr="002269DF" w:rsidRDefault="00FA6FAB" w:rsidP="009060D1">
            <w:pPr>
              <w:spacing w:before="40" w:line="240" w:lineRule="auto"/>
              <w:rPr>
                <w:rFonts w:ascii="Times New Roman" w:hAnsi="Times New Roman"/>
                <w:spacing w:val="-2"/>
              </w:rPr>
            </w:pPr>
            <w:r w:rsidRPr="002269DF">
              <w:rPr>
                <w:rFonts w:ascii="Times New Roman" w:hAnsi="Times New Roman"/>
                <w:spacing w:val="-2"/>
              </w:rPr>
              <w:t>Poprawa płynności finansowej przedsiębiorców dzięki propozycji umożliwiającej rozliczenie jednorazowe straty do</w:t>
            </w:r>
            <w:r w:rsidR="009060D1">
              <w:rPr>
                <w:rFonts w:ascii="Times New Roman" w:hAnsi="Times New Roman"/>
                <w:spacing w:val="-2"/>
              </w:rPr>
              <w:t> </w:t>
            </w:r>
            <w:r w:rsidRPr="002269DF">
              <w:rPr>
                <w:rFonts w:ascii="Times New Roman" w:hAnsi="Times New Roman"/>
                <w:spacing w:val="-2"/>
              </w:rPr>
              <w:t>5 mln zł oraz</w:t>
            </w:r>
            <w:r w:rsidR="009060D1">
              <w:rPr>
                <w:rFonts w:ascii="Times New Roman" w:hAnsi="Times New Roman"/>
                <w:spacing w:val="-2"/>
              </w:rPr>
              <w:t> </w:t>
            </w:r>
            <w:r w:rsidRPr="002269DF">
              <w:rPr>
                <w:rFonts w:ascii="Times New Roman" w:hAnsi="Times New Roman"/>
                <w:spacing w:val="-2"/>
              </w:rPr>
              <w:t xml:space="preserve">propozycji </w:t>
            </w:r>
            <w:r w:rsidRPr="002269DF">
              <w:rPr>
                <w:rFonts w:ascii="Times New Roman" w:hAnsi="Times New Roman"/>
              </w:rPr>
              <w:t>ograniczającej sytuacje, w których terminy zapłaty ustalane przez podmioty publiczne na rzecz przedsiębiorców przekraczają 30 dni</w:t>
            </w:r>
            <w:r w:rsidR="00725563" w:rsidRPr="002269DF">
              <w:rPr>
                <w:rFonts w:ascii="Times New Roman" w:hAnsi="Times New Roman"/>
              </w:rPr>
              <w:t>,</w:t>
            </w:r>
            <w:r w:rsidR="002C022A" w:rsidRPr="002269DF">
              <w:rPr>
                <w:rFonts w:ascii="Times New Roman" w:hAnsi="Times New Roman"/>
              </w:rPr>
              <w:t xml:space="preserve"> poprawa płynności finansowej przedsiębiorców dzięki zwolnieniu </w:t>
            </w:r>
            <w:r w:rsidR="002C022A" w:rsidRPr="002269DF">
              <w:rPr>
                <w:rFonts w:ascii="Times New Roman" w:hAnsi="Times New Roman"/>
              </w:rPr>
              <w:lastRenderedPageBreak/>
              <w:t>z</w:t>
            </w:r>
            <w:r w:rsidR="009060D1">
              <w:rPr>
                <w:rFonts w:ascii="Times New Roman" w:hAnsi="Times New Roman"/>
              </w:rPr>
              <w:t> </w:t>
            </w:r>
            <w:r w:rsidR="002C022A" w:rsidRPr="002269DF">
              <w:rPr>
                <w:rFonts w:ascii="Times New Roman" w:hAnsi="Times New Roman"/>
              </w:rPr>
              <w:t>podatku kwot odszkodowań przeznaczonych na</w:t>
            </w:r>
            <w:r w:rsidR="009060D1">
              <w:rPr>
                <w:rFonts w:ascii="Times New Roman" w:hAnsi="Times New Roman"/>
              </w:rPr>
              <w:t> </w:t>
            </w:r>
            <w:r w:rsidR="002C022A" w:rsidRPr="002269DF">
              <w:rPr>
                <w:rFonts w:ascii="Times New Roman" w:hAnsi="Times New Roman"/>
              </w:rPr>
              <w:t xml:space="preserve">odtworzenie środków trwałych, które uległy </w:t>
            </w:r>
            <w:r w:rsidR="00CE00BC" w:rsidRPr="002269DF">
              <w:rPr>
                <w:rFonts w:ascii="Times New Roman" w:hAnsi="Times New Roman"/>
              </w:rPr>
              <w:t>zniszczeniu.</w:t>
            </w:r>
          </w:p>
        </w:tc>
      </w:tr>
      <w:tr w:rsidR="00AB0185" w:rsidRPr="002269DF" w14:paraId="7AE97D3F" w14:textId="77777777" w:rsidTr="00C86E37">
        <w:trPr>
          <w:gridAfter w:val="1"/>
          <w:wAfter w:w="10" w:type="dxa"/>
          <w:trHeight w:val="142"/>
        </w:trPr>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14:paraId="5693E19C" w14:textId="77777777" w:rsidR="00AB0185" w:rsidRPr="002269DF" w:rsidRDefault="00AB0185" w:rsidP="00495D6D">
            <w:pPr>
              <w:spacing w:before="40" w:line="240" w:lineRule="auto"/>
              <w:rPr>
                <w:rFonts w:ascii="Times New Roman" w:hAnsi="Times New Roman"/>
                <w:spacing w:val="-2"/>
              </w:rPr>
            </w:pPr>
            <w:r w:rsidRPr="002269DF">
              <w:rPr>
                <w:rFonts w:ascii="Times New Roman" w:hAnsi="Times New Roman"/>
                <w:spacing w:val="-2"/>
              </w:rPr>
              <w:lastRenderedPageBreak/>
              <w:t>Podatnicy podatku dochodowego</w:t>
            </w:r>
          </w:p>
        </w:tc>
        <w:tc>
          <w:tcPr>
            <w:tcW w:w="5244" w:type="dxa"/>
            <w:gridSpan w:val="16"/>
            <w:tcBorders>
              <w:top w:val="single" w:sz="4" w:space="0" w:color="auto"/>
              <w:left w:val="single" w:sz="4" w:space="0" w:color="auto"/>
              <w:bottom w:val="single" w:sz="4" w:space="0" w:color="auto"/>
              <w:right w:val="single" w:sz="4" w:space="0" w:color="auto"/>
            </w:tcBorders>
            <w:shd w:val="clear" w:color="auto" w:fill="auto"/>
          </w:tcPr>
          <w:p w14:paraId="0242EF0C" w14:textId="77777777" w:rsidR="00AB0185" w:rsidRPr="002269DF" w:rsidRDefault="000E4B7C" w:rsidP="00495D6D">
            <w:pPr>
              <w:spacing w:before="40" w:line="240" w:lineRule="auto"/>
              <w:jc w:val="center"/>
              <w:rPr>
                <w:rFonts w:ascii="Times New Roman" w:hAnsi="Times New Roman"/>
                <w:spacing w:val="-2"/>
              </w:rPr>
            </w:pPr>
            <w:r w:rsidRPr="002269DF">
              <w:rPr>
                <w:rFonts w:ascii="Times New Roman" w:hAnsi="Times New Roman"/>
                <w:spacing w:val="-2"/>
              </w:rPr>
              <w:t>ok. 25 mln</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5CD95CE0" w14:textId="77777777" w:rsidR="00AB0185" w:rsidRPr="002269DF" w:rsidRDefault="00A67901" w:rsidP="00495D6D">
            <w:pPr>
              <w:spacing w:before="40" w:line="240" w:lineRule="auto"/>
              <w:jc w:val="center"/>
              <w:rPr>
                <w:rFonts w:ascii="Times New Roman" w:hAnsi="Times New Roman"/>
                <w:spacing w:val="-2"/>
              </w:rPr>
            </w:pPr>
            <w:r w:rsidRPr="002269DF">
              <w:rPr>
                <w:rFonts w:ascii="Times New Roman" w:hAnsi="Times New Roman"/>
                <w:spacing w:val="-2"/>
              </w:rPr>
              <w:t>Deklaracje podatkowe</w:t>
            </w:r>
          </w:p>
          <w:p w14:paraId="19CCDC17" w14:textId="77777777" w:rsidR="00A67901" w:rsidRPr="002269DF" w:rsidRDefault="00A67901" w:rsidP="00495D6D">
            <w:pPr>
              <w:spacing w:before="40" w:line="240" w:lineRule="auto"/>
              <w:jc w:val="center"/>
              <w:rPr>
                <w:rFonts w:ascii="Times New Roman" w:hAnsi="Times New Roman"/>
                <w:spacing w:val="-2"/>
              </w:rPr>
            </w:pPr>
            <w:r w:rsidRPr="002269DF">
              <w:rPr>
                <w:rFonts w:ascii="Times New Roman" w:hAnsi="Times New Roman"/>
                <w:spacing w:val="-2"/>
              </w:rPr>
              <w:t>(MF)</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tcPr>
          <w:p w14:paraId="6324193F" w14:textId="77777777" w:rsidR="00AB0185" w:rsidRPr="002269DF" w:rsidRDefault="000E4B7C" w:rsidP="00495D6D">
            <w:pPr>
              <w:spacing w:before="40" w:line="240" w:lineRule="auto"/>
              <w:rPr>
                <w:rFonts w:ascii="Times New Roman" w:hAnsi="Times New Roman"/>
                <w:spacing w:val="-2"/>
              </w:rPr>
            </w:pPr>
            <w:r w:rsidRPr="002269DF">
              <w:rPr>
                <w:rFonts w:ascii="Times New Roman" w:hAnsi="Times New Roman"/>
                <w:spacing w:val="-2"/>
              </w:rPr>
              <w:t>Poprawa płynności finansowej, dzięki zwolnieniu z podatku kwot odszkodowań przeznaczonych na odtworzenie środków trwałych, które uległy zniszczeniu.</w:t>
            </w:r>
          </w:p>
        </w:tc>
      </w:tr>
      <w:tr w:rsidR="008E6A9D" w:rsidRPr="002269DF" w14:paraId="20BF915E" w14:textId="77777777" w:rsidTr="00C86E37">
        <w:trPr>
          <w:gridAfter w:val="1"/>
          <w:wAfter w:w="10" w:type="dxa"/>
          <w:trHeight w:val="142"/>
        </w:trPr>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14:paraId="6A76C149" w14:textId="77777777" w:rsidR="008E6A9D" w:rsidRPr="002269DF" w:rsidRDefault="008E6A9D" w:rsidP="00495D6D">
            <w:pPr>
              <w:spacing w:before="40" w:line="240" w:lineRule="auto"/>
              <w:rPr>
                <w:rFonts w:ascii="Times New Roman" w:hAnsi="Times New Roman"/>
                <w:spacing w:val="-2"/>
              </w:rPr>
            </w:pPr>
            <w:r w:rsidRPr="002269DF">
              <w:rPr>
                <w:rFonts w:ascii="Times New Roman" w:hAnsi="Times New Roman"/>
                <w:spacing w:val="-2"/>
              </w:rPr>
              <w:t>Podatnicy podatku dochodowego prowadzący działalność gospodarczą opłacający zryczałtowany podatek dochodowy</w:t>
            </w:r>
          </w:p>
        </w:tc>
        <w:tc>
          <w:tcPr>
            <w:tcW w:w="5244" w:type="dxa"/>
            <w:gridSpan w:val="16"/>
            <w:tcBorders>
              <w:top w:val="single" w:sz="4" w:space="0" w:color="auto"/>
              <w:left w:val="single" w:sz="4" w:space="0" w:color="auto"/>
              <w:bottom w:val="single" w:sz="4" w:space="0" w:color="auto"/>
              <w:right w:val="single" w:sz="4" w:space="0" w:color="auto"/>
            </w:tcBorders>
            <w:shd w:val="clear" w:color="auto" w:fill="auto"/>
          </w:tcPr>
          <w:p w14:paraId="68E200D5" w14:textId="77777777" w:rsidR="008E6A9D" w:rsidRPr="002269DF" w:rsidRDefault="008E6A9D" w:rsidP="00495D6D">
            <w:pPr>
              <w:spacing w:before="40" w:line="240" w:lineRule="auto"/>
              <w:jc w:val="center"/>
              <w:rPr>
                <w:rFonts w:ascii="Times New Roman" w:hAnsi="Times New Roman"/>
                <w:spacing w:val="-2"/>
              </w:rPr>
            </w:pPr>
            <w:r w:rsidRPr="002269DF">
              <w:rPr>
                <w:rFonts w:ascii="Times New Roman" w:hAnsi="Times New Roman"/>
                <w:spacing w:val="-2"/>
              </w:rPr>
              <w:t xml:space="preserve"> ok. 0,6 mln </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4146DA20" w14:textId="77777777" w:rsidR="008E6A9D" w:rsidRPr="002269DF" w:rsidRDefault="008E6A9D" w:rsidP="00495D6D">
            <w:pPr>
              <w:spacing w:before="40" w:line="240" w:lineRule="auto"/>
              <w:jc w:val="center"/>
              <w:rPr>
                <w:rFonts w:ascii="Times New Roman" w:hAnsi="Times New Roman"/>
                <w:spacing w:val="-2"/>
              </w:rPr>
            </w:pPr>
            <w:r w:rsidRPr="002269DF">
              <w:rPr>
                <w:rFonts w:ascii="Times New Roman" w:hAnsi="Times New Roman"/>
                <w:spacing w:val="-2"/>
              </w:rPr>
              <w:t>Deklaracje podatkowe</w:t>
            </w:r>
          </w:p>
          <w:p w14:paraId="562AC2EF" w14:textId="77777777" w:rsidR="00A67901" w:rsidRPr="002269DF" w:rsidRDefault="00A67901" w:rsidP="00495D6D">
            <w:pPr>
              <w:spacing w:before="40" w:line="240" w:lineRule="auto"/>
              <w:jc w:val="center"/>
              <w:rPr>
                <w:rFonts w:ascii="Times New Roman" w:hAnsi="Times New Roman"/>
                <w:spacing w:val="-2"/>
              </w:rPr>
            </w:pPr>
            <w:r w:rsidRPr="002269DF">
              <w:rPr>
                <w:rFonts w:ascii="Times New Roman" w:hAnsi="Times New Roman"/>
                <w:spacing w:val="-2"/>
              </w:rPr>
              <w:t>(MF)</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tcPr>
          <w:p w14:paraId="41852556" w14:textId="075F9396" w:rsidR="008E6A9D" w:rsidRPr="002269DF" w:rsidRDefault="008E6A9D" w:rsidP="00495D6D">
            <w:pPr>
              <w:spacing w:before="40" w:line="240" w:lineRule="auto"/>
              <w:rPr>
                <w:rFonts w:ascii="Times New Roman" w:hAnsi="Times New Roman"/>
                <w:spacing w:val="-2"/>
              </w:rPr>
            </w:pPr>
            <w:r w:rsidRPr="002269DF">
              <w:rPr>
                <w:rFonts w:ascii="Times New Roman" w:hAnsi="Times New Roman"/>
                <w:spacing w:val="-2"/>
              </w:rPr>
              <w:t>Poprawa warunków prowadzenia działalności gospodarczej</w:t>
            </w:r>
            <w:r w:rsidR="00A36D1A" w:rsidRPr="002269DF">
              <w:rPr>
                <w:rFonts w:ascii="Times New Roman" w:hAnsi="Times New Roman"/>
                <w:spacing w:val="-2"/>
              </w:rPr>
              <w:t xml:space="preserve"> poprzez</w:t>
            </w:r>
            <w:r w:rsidR="009060D1">
              <w:rPr>
                <w:rFonts w:ascii="Times New Roman" w:hAnsi="Times New Roman"/>
                <w:spacing w:val="-2"/>
              </w:rPr>
              <w:t> </w:t>
            </w:r>
            <w:r w:rsidR="00A36D1A" w:rsidRPr="002269DF">
              <w:rPr>
                <w:rFonts w:ascii="Times New Roman" w:hAnsi="Times New Roman"/>
                <w:spacing w:val="-2"/>
              </w:rPr>
              <w:t>zmniejszenie obowiązków informacyjnych i</w:t>
            </w:r>
            <w:r w:rsidR="00495D6D" w:rsidRPr="002269DF">
              <w:rPr>
                <w:rFonts w:ascii="Times New Roman" w:hAnsi="Times New Roman"/>
                <w:spacing w:val="-2"/>
              </w:rPr>
              <w:t> </w:t>
            </w:r>
            <w:r w:rsidR="00A36D1A" w:rsidRPr="002269DF">
              <w:rPr>
                <w:rFonts w:ascii="Times New Roman" w:hAnsi="Times New Roman"/>
                <w:spacing w:val="-2"/>
              </w:rPr>
              <w:t>dokumentacyjnych nałożonych na podatników, co</w:t>
            </w:r>
            <w:r w:rsidR="009060D1">
              <w:rPr>
                <w:rFonts w:ascii="Times New Roman" w:hAnsi="Times New Roman"/>
                <w:spacing w:val="-2"/>
              </w:rPr>
              <w:t> </w:t>
            </w:r>
            <w:r w:rsidR="00A36D1A" w:rsidRPr="002269DF">
              <w:rPr>
                <w:rFonts w:ascii="Times New Roman" w:hAnsi="Times New Roman"/>
                <w:spacing w:val="-2"/>
              </w:rPr>
              <w:t>przyczyni się do</w:t>
            </w:r>
            <w:r w:rsidR="009060D1">
              <w:rPr>
                <w:rFonts w:ascii="Times New Roman" w:hAnsi="Times New Roman"/>
                <w:spacing w:val="-2"/>
              </w:rPr>
              <w:t> </w:t>
            </w:r>
            <w:r w:rsidR="00A36D1A" w:rsidRPr="002269DF">
              <w:rPr>
                <w:rFonts w:ascii="Times New Roman" w:hAnsi="Times New Roman"/>
                <w:spacing w:val="-2"/>
              </w:rPr>
              <w:t>zmniejszenia zbędnych obciążeń biurokratycznych</w:t>
            </w:r>
            <w:r w:rsidRPr="002269DF">
              <w:rPr>
                <w:rFonts w:ascii="Times New Roman" w:hAnsi="Times New Roman"/>
                <w:spacing w:val="-2"/>
              </w:rPr>
              <w:t>.</w:t>
            </w:r>
          </w:p>
          <w:p w14:paraId="2BF63E44" w14:textId="77777777" w:rsidR="00FA6FAB" w:rsidRPr="002269DF" w:rsidRDefault="00FA6FAB" w:rsidP="00FA6FAB">
            <w:pPr>
              <w:spacing w:before="40" w:line="240" w:lineRule="auto"/>
              <w:rPr>
                <w:rFonts w:ascii="Times New Roman" w:hAnsi="Times New Roman"/>
                <w:spacing w:val="-2"/>
              </w:rPr>
            </w:pPr>
            <w:r w:rsidRPr="002269DF">
              <w:rPr>
                <w:rFonts w:ascii="Times New Roman" w:hAnsi="Times New Roman"/>
                <w:spacing w:val="-2"/>
              </w:rPr>
              <w:t xml:space="preserve">Poprawa płynności finansowej przedsiębiorców dzięki </w:t>
            </w:r>
            <w:r w:rsidR="003B5135" w:rsidRPr="002269DF">
              <w:rPr>
                <w:rFonts w:ascii="Times New Roman" w:hAnsi="Times New Roman"/>
                <w:spacing w:val="-2"/>
              </w:rPr>
              <w:t xml:space="preserve">propozycji </w:t>
            </w:r>
            <w:r w:rsidRPr="002269DF">
              <w:rPr>
                <w:rFonts w:ascii="Times New Roman" w:hAnsi="Times New Roman"/>
              </w:rPr>
              <w:t>ograniczającej sytuacje, w których terminy zapłaty ustalane przez podmioty publiczne na rzecz przedsiębiorców przekraczają 30 dni.</w:t>
            </w:r>
          </w:p>
        </w:tc>
      </w:tr>
      <w:tr w:rsidR="00FA6FAB" w:rsidRPr="002269DF" w14:paraId="02B9B9D0" w14:textId="77777777" w:rsidTr="00C86E37">
        <w:trPr>
          <w:gridAfter w:val="1"/>
          <w:wAfter w:w="10" w:type="dxa"/>
          <w:trHeight w:val="963"/>
        </w:trPr>
        <w:tc>
          <w:tcPr>
            <w:tcW w:w="1844" w:type="dxa"/>
            <w:gridSpan w:val="2"/>
            <w:shd w:val="clear" w:color="auto" w:fill="auto"/>
          </w:tcPr>
          <w:p w14:paraId="703894BE" w14:textId="77777777" w:rsidR="00FA6FAB" w:rsidRPr="002269DF" w:rsidRDefault="00FA6FAB" w:rsidP="00AA2FC7">
            <w:pPr>
              <w:spacing w:before="120" w:line="240" w:lineRule="auto"/>
              <w:rPr>
                <w:rFonts w:ascii="Times New Roman" w:hAnsi="Times New Roman"/>
              </w:rPr>
            </w:pPr>
            <w:r w:rsidRPr="002269DF">
              <w:rPr>
                <w:rFonts w:ascii="Times New Roman" w:hAnsi="Times New Roman"/>
              </w:rPr>
              <w:t>Podatnicy</w:t>
            </w:r>
            <w:r w:rsidR="00AA2FC7" w:rsidRPr="002269DF">
              <w:rPr>
                <w:rFonts w:ascii="Times New Roman" w:hAnsi="Times New Roman"/>
              </w:rPr>
              <w:t xml:space="preserve">, którzy będą mogli dodatkowo uzyskać </w:t>
            </w:r>
            <w:r w:rsidRPr="002269DF">
              <w:rPr>
                <w:rFonts w:ascii="Times New Roman" w:hAnsi="Times New Roman"/>
              </w:rPr>
              <w:t xml:space="preserve">status „małego podatnika” </w:t>
            </w:r>
          </w:p>
        </w:tc>
        <w:tc>
          <w:tcPr>
            <w:tcW w:w="5244" w:type="dxa"/>
            <w:gridSpan w:val="16"/>
            <w:shd w:val="clear" w:color="auto" w:fill="auto"/>
          </w:tcPr>
          <w:p w14:paraId="45AF35CF" w14:textId="77777777" w:rsidR="00FA6FAB" w:rsidRPr="002269DF" w:rsidRDefault="00FA6FAB" w:rsidP="00495D6D">
            <w:pPr>
              <w:spacing w:before="120" w:line="240" w:lineRule="auto"/>
              <w:jc w:val="both"/>
              <w:rPr>
                <w:rFonts w:ascii="Times New Roman" w:hAnsi="Times New Roman"/>
              </w:rPr>
            </w:pPr>
            <w:r w:rsidRPr="002269DF">
              <w:rPr>
                <w:rFonts w:ascii="Times New Roman" w:hAnsi="Times New Roman"/>
              </w:rPr>
              <w:t>Ok. 15 tys. przedsiębiorców</w:t>
            </w:r>
          </w:p>
        </w:tc>
        <w:tc>
          <w:tcPr>
            <w:tcW w:w="1701" w:type="dxa"/>
            <w:gridSpan w:val="7"/>
            <w:shd w:val="clear" w:color="auto" w:fill="auto"/>
          </w:tcPr>
          <w:p w14:paraId="6DB0188B" w14:textId="77777777" w:rsidR="00FA6FAB" w:rsidRPr="002269DF" w:rsidRDefault="00FA6FAB" w:rsidP="00FA6FAB">
            <w:pPr>
              <w:spacing w:before="120" w:line="240" w:lineRule="auto"/>
              <w:jc w:val="center"/>
              <w:rPr>
                <w:rFonts w:ascii="Times New Roman" w:hAnsi="Times New Roman"/>
                <w:spacing w:val="-2"/>
              </w:rPr>
            </w:pPr>
            <w:r w:rsidRPr="002269DF">
              <w:rPr>
                <w:rFonts w:ascii="Times New Roman" w:hAnsi="Times New Roman"/>
                <w:spacing w:val="-2"/>
              </w:rPr>
              <w:t>Szacunki MR na podstawie danych MF dotyczących podatku dochodowego</w:t>
            </w:r>
          </w:p>
        </w:tc>
        <w:tc>
          <w:tcPr>
            <w:tcW w:w="2148" w:type="dxa"/>
            <w:gridSpan w:val="4"/>
            <w:shd w:val="clear" w:color="auto" w:fill="auto"/>
          </w:tcPr>
          <w:p w14:paraId="17AA7E3D" w14:textId="1F72CB90" w:rsidR="00FA6FAB" w:rsidRPr="002269DF" w:rsidRDefault="00AA2FC7" w:rsidP="009060D1">
            <w:pPr>
              <w:spacing w:before="120" w:line="240" w:lineRule="auto"/>
              <w:rPr>
                <w:rFonts w:ascii="Times New Roman" w:hAnsi="Times New Roman"/>
              </w:rPr>
            </w:pPr>
            <w:r w:rsidRPr="002269DF">
              <w:rPr>
                <w:rFonts w:ascii="Times New Roman" w:hAnsi="Times New Roman"/>
              </w:rPr>
              <w:t>Podwyższenie progu uprawniającego do uzyskania statusu „małego podatnika” zmniejszy obciążenia administracyjno-finansowe uprawnionym przedsiębiorcom, poprzez umożliwienie im</w:t>
            </w:r>
            <w:r w:rsidR="009060D1">
              <w:rPr>
                <w:rFonts w:ascii="Times New Roman" w:hAnsi="Times New Roman"/>
              </w:rPr>
              <w:t> </w:t>
            </w:r>
            <w:r w:rsidRPr="002269DF">
              <w:rPr>
                <w:rFonts w:ascii="Times New Roman" w:hAnsi="Times New Roman"/>
              </w:rPr>
              <w:t>skorzystania z</w:t>
            </w:r>
            <w:r w:rsidR="009060D1">
              <w:rPr>
                <w:rFonts w:ascii="Times New Roman" w:hAnsi="Times New Roman"/>
              </w:rPr>
              <w:t> </w:t>
            </w:r>
            <w:r w:rsidRPr="002269DF">
              <w:rPr>
                <w:rFonts w:ascii="Times New Roman" w:hAnsi="Times New Roman"/>
              </w:rPr>
              <w:t>rozwiązań preferencyjnych przysługujących „małym podatnikom”.</w:t>
            </w:r>
          </w:p>
        </w:tc>
      </w:tr>
      <w:tr w:rsidR="00AA2FC7" w:rsidRPr="002269DF" w14:paraId="44B5457D" w14:textId="77777777" w:rsidTr="00C86E37">
        <w:trPr>
          <w:gridAfter w:val="1"/>
          <w:wAfter w:w="10" w:type="dxa"/>
          <w:trHeight w:val="963"/>
        </w:trPr>
        <w:tc>
          <w:tcPr>
            <w:tcW w:w="1844" w:type="dxa"/>
            <w:gridSpan w:val="2"/>
            <w:shd w:val="clear" w:color="auto" w:fill="auto"/>
          </w:tcPr>
          <w:p w14:paraId="2A1A1743" w14:textId="77777777" w:rsidR="00AA2FC7" w:rsidRPr="00DC435B" w:rsidRDefault="0019351B" w:rsidP="0019351B">
            <w:pPr>
              <w:spacing w:before="120" w:line="240" w:lineRule="auto"/>
              <w:rPr>
                <w:rFonts w:ascii="Times New Roman" w:hAnsi="Times New Roman"/>
              </w:rPr>
            </w:pPr>
            <w:r w:rsidRPr="00DC435B">
              <w:rPr>
                <w:rFonts w:ascii="Times New Roman" w:hAnsi="Times New Roman"/>
              </w:rPr>
              <w:lastRenderedPageBreak/>
              <w:t xml:space="preserve">Liczba </w:t>
            </w:r>
            <w:r w:rsidRPr="00DC435B">
              <w:rPr>
                <w:rFonts w:ascii="Times New Roman" w:hAnsi="Times New Roman"/>
                <w:spacing w:val="-2"/>
              </w:rPr>
              <w:t>osób ubezpieczonych wg kodu 0511 (osoby współpracujące z osobą prowadzącą działalność gospodarczą)</w:t>
            </w:r>
          </w:p>
        </w:tc>
        <w:tc>
          <w:tcPr>
            <w:tcW w:w="5244" w:type="dxa"/>
            <w:gridSpan w:val="16"/>
            <w:shd w:val="clear" w:color="auto" w:fill="auto"/>
          </w:tcPr>
          <w:p w14:paraId="45FB2FBF" w14:textId="77777777" w:rsidR="00AA2FC7" w:rsidRPr="00DC435B" w:rsidRDefault="00AA2FC7" w:rsidP="00495D6D">
            <w:pPr>
              <w:spacing w:before="120" w:line="240" w:lineRule="auto"/>
              <w:jc w:val="both"/>
              <w:rPr>
                <w:rFonts w:ascii="Times New Roman" w:hAnsi="Times New Roman"/>
              </w:rPr>
            </w:pPr>
            <w:r w:rsidRPr="00DC435B">
              <w:rPr>
                <w:rFonts w:ascii="Times New Roman" w:hAnsi="Times New Roman"/>
              </w:rPr>
              <w:t>38,4 tys. osób</w:t>
            </w:r>
          </w:p>
        </w:tc>
        <w:tc>
          <w:tcPr>
            <w:tcW w:w="1701" w:type="dxa"/>
            <w:gridSpan w:val="7"/>
            <w:shd w:val="clear" w:color="auto" w:fill="auto"/>
          </w:tcPr>
          <w:p w14:paraId="50638B07" w14:textId="77777777" w:rsidR="00AA2FC7" w:rsidRPr="00DC435B" w:rsidRDefault="00AA2FC7" w:rsidP="0019351B">
            <w:pPr>
              <w:spacing w:before="120" w:line="240" w:lineRule="auto"/>
              <w:jc w:val="center"/>
              <w:rPr>
                <w:rFonts w:ascii="Times New Roman" w:hAnsi="Times New Roman"/>
                <w:spacing w:val="-2"/>
              </w:rPr>
            </w:pPr>
            <w:r w:rsidRPr="00DC435B">
              <w:rPr>
                <w:rFonts w:ascii="Times New Roman" w:hAnsi="Times New Roman"/>
                <w:spacing w:val="-2"/>
              </w:rPr>
              <w:t>Na podstawie danych ZUS nt.</w:t>
            </w:r>
            <w:r w:rsidR="0019351B" w:rsidRPr="00DC435B">
              <w:rPr>
                <w:rFonts w:ascii="Times New Roman" w:hAnsi="Times New Roman"/>
                <w:spacing w:val="-2"/>
              </w:rPr>
              <w:t xml:space="preserve"> liczby osób ubezpieczonych wg kodu 0511 (osoby współpracujące z osobą prowadzącą działalność gospodarczą)</w:t>
            </w:r>
            <w:r w:rsidRPr="00DC435B">
              <w:rPr>
                <w:rFonts w:ascii="Times New Roman" w:hAnsi="Times New Roman"/>
                <w:spacing w:val="-2"/>
              </w:rPr>
              <w:t xml:space="preserve"> </w:t>
            </w:r>
            <w:r w:rsidR="0019351B" w:rsidRPr="00DC435B">
              <w:rPr>
                <w:rFonts w:ascii="Times New Roman" w:hAnsi="Times New Roman"/>
                <w:spacing w:val="-2"/>
              </w:rPr>
              <w:t>wg stanu na czerwiec 2017 r.</w:t>
            </w:r>
          </w:p>
        </w:tc>
        <w:tc>
          <w:tcPr>
            <w:tcW w:w="2148" w:type="dxa"/>
            <w:gridSpan w:val="4"/>
            <w:shd w:val="clear" w:color="auto" w:fill="auto"/>
          </w:tcPr>
          <w:p w14:paraId="15D960D0" w14:textId="1E48AE24" w:rsidR="00AA2FC7" w:rsidRPr="00DC435B" w:rsidRDefault="0019351B" w:rsidP="00360008">
            <w:pPr>
              <w:spacing w:before="120" w:line="240" w:lineRule="auto"/>
              <w:rPr>
                <w:rFonts w:ascii="Times New Roman" w:hAnsi="Times New Roman"/>
              </w:rPr>
            </w:pPr>
            <w:r w:rsidRPr="00DC435B">
              <w:rPr>
                <w:rFonts w:ascii="Times New Roman" w:hAnsi="Times New Roman"/>
              </w:rPr>
              <w:t>Możliwość uznania za koszty uzyskania przychodów wartości pracy małżonka podatnika, współpracującego z</w:t>
            </w:r>
            <w:r w:rsidR="009060D1">
              <w:rPr>
                <w:rFonts w:ascii="Times New Roman" w:hAnsi="Times New Roman"/>
              </w:rPr>
              <w:t> </w:t>
            </w:r>
            <w:r w:rsidRPr="00DC435B">
              <w:rPr>
                <w:rFonts w:ascii="Times New Roman" w:hAnsi="Times New Roman"/>
              </w:rPr>
              <w:t>tym małżonkiem-przedsiębiorcą, do</w:t>
            </w:r>
            <w:r w:rsidR="009060D1">
              <w:rPr>
                <w:rFonts w:ascii="Times New Roman" w:hAnsi="Times New Roman"/>
              </w:rPr>
              <w:t> </w:t>
            </w:r>
            <w:r w:rsidRPr="00DC435B">
              <w:rPr>
                <w:rFonts w:ascii="Times New Roman" w:hAnsi="Times New Roman"/>
              </w:rPr>
              <w:t>wysokości 12-krotności przeciętnego wynagrodzenia w</w:t>
            </w:r>
            <w:r w:rsidR="009060D1">
              <w:rPr>
                <w:rFonts w:ascii="Times New Roman" w:hAnsi="Times New Roman"/>
              </w:rPr>
              <w:t> </w:t>
            </w:r>
            <w:r w:rsidRPr="00DC435B">
              <w:rPr>
                <w:rFonts w:ascii="Times New Roman" w:hAnsi="Times New Roman"/>
              </w:rPr>
              <w:t>gospodarce narodowej, co ułatwi prowadzenie działalności gospodarczej małych przedsiębiorców, którym w</w:t>
            </w:r>
            <w:r w:rsidR="009060D1">
              <w:rPr>
                <w:rFonts w:ascii="Times New Roman" w:hAnsi="Times New Roman"/>
              </w:rPr>
              <w:t> </w:t>
            </w:r>
            <w:r w:rsidRPr="00DC435B">
              <w:rPr>
                <w:rFonts w:ascii="Times New Roman" w:hAnsi="Times New Roman"/>
              </w:rPr>
              <w:t xml:space="preserve">działalności pomaga małżonek. Wsparcie działalności rodzinnych. </w:t>
            </w:r>
          </w:p>
          <w:p w14:paraId="4F63DA29" w14:textId="3B3C8572" w:rsidR="002F6A09" w:rsidRPr="00DC435B" w:rsidRDefault="002F6A09" w:rsidP="009060D1">
            <w:pPr>
              <w:spacing w:line="240" w:lineRule="auto"/>
              <w:rPr>
                <w:rFonts w:ascii="Times New Roman" w:hAnsi="Times New Roman"/>
              </w:rPr>
            </w:pPr>
            <w:r w:rsidRPr="00DC435B">
              <w:rPr>
                <w:rFonts w:ascii="Times New Roman" w:hAnsi="Times New Roman"/>
              </w:rPr>
              <w:t>Nie jest możliwe określenie faktycznej liczby małżonków, która skorzysta z</w:t>
            </w:r>
            <w:r w:rsidR="009060D1">
              <w:rPr>
                <w:rFonts w:ascii="Times New Roman" w:hAnsi="Times New Roman"/>
              </w:rPr>
              <w:t> </w:t>
            </w:r>
            <w:r w:rsidRPr="00DC435B">
              <w:rPr>
                <w:rFonts w:ascii="Times New Roman" w:hAnsi="Times New Roman"/>
              </w:rPr>
              <w:t>rozwiązania, dlatego w szacunkach przyjętych w dalszej części OSR powołano się na</w:t>
            </w:r>
            <w:r w:rsidR="009060D1">
              <w:rPr>
                <w:rFonts w:ascii="Times New Roman" w:hAnsi="Times New Roman"/>
              </w:rPr>
              <w:t> </w:t>
            </w:r>
            <w:r w:rsidRPr="00DC435B">
              <w:rPr>
                <w:rFonts w:ascii="Times New Roman" w:hAnsi="Times New Roman"/>
              </w:rPr>
              <w:t xml:space="preserve">orientacyjną liczbę 17 tys. podatników. </w:t>
            </w:r>
          </w:p>
        </w:tc>
      </w:tr>
      <w:tr w:rsidR="00CF4990" w:rsidRPr="002269DF" w14:paraId="260EFB44" w14:textId="77777777" w:rsidTr="00C86E37">
        <w:trPr>
          <w:gridAfter w:val="1"/>
          <w:wAfter w:w="10" w:type="dxa"/>
          <w:trHeight w:val="963"/>
        </w:trPr>
        <w:tc>
          <w:tcPr>
            <w:tcW w:w="1844" w:type="dxa"/>
            <w:gridSpan w:val="2"/>
            <w:shd w:val="clear" w:color="auto" w:fill="auto"/>
          </w:tcPr>
          <w:p w14:paraId="7937AA24" w14:textId="77777777" w:rsidR="008F5512" w:rsidRPr="002269DF" w:rsidRDefault="008F5512" w:rsidP="00495D6D">
            <w:pPr>
              <w:spacing w:before="120" w:line="240" w:lineRule="auto"/>
              <w:rPr>
                <w:rFonts w:ascii="Times New Roman" w:hAnsi="Times New Roman"/>
              </w:rPr>
            </w:pPr>
            <w:r w:rsidRPr="002269DF">
              <w:rPr>
                <w:rFonts w:ascii="Times New Roman" w:hAnsi="Times New Roman"/>
              </w:rPr>
              <w:t>Podatnicy podatku od czynności cywilnoprawnych</w:t>
            </w:r>
          </w:p>
          <w:p w14:paraId="67873032" w14:textId="77777777" w:rsidR="00CF4990" w:rsidRPr="002269DF" w:rsidRDefault="008F5512" w:rsidP="00495D6D">
            <w:pPr>
              <w:spacing w:before="120" w:line="240" w:lineRule="auto"/>
              <w:rPr>
                <w:rFonts w:ascii="Times New Roman" w:hAnsi="Times New Roman"/>
              </w:rPr>
            </w:pPr>
            <w:r w:rsidRPr="002269DF">
              <w:rPr>
                <w:rFonts w:ascii="Times New Roman" w:hAnsi="Times New Roman"/>
              </w:rPr>
              <w:t>Organy podatkowe</w:t>
            </w:r>
          </w:p>
        </w:tc>
        <w:tc>
          <w:tcPr>
            <w:tcW w:w="5244" w:type="dxa"/>
            <w:gridSpan w:val="16"/>
            <w:shd w:val="clear" w:color="auto" w:fill="auto"/>
          </w:tcPr>
          <w:p w14:paraId="4850D797" w14:textId="77777777" w:rsidR="00D41C6A" w:rsidRPr="002269DF" w:rsidRDefault="008F5512" w:rsidP="00495D6D">
            <w:pPr>
              <w:spacing w:before="120" w:line="240" w:lineRule="auto"/>
              <w:jc w:val="both"/>
              <w:rPr>
                <w:rFonts w:ascii="Times New Roman" w:hAnsi="Times New Roman"/>
              </w:rPr>
            </w:pPr>
            <w:r w:rsidRPr="002269DF">
              <w:rPr>
                <w:rFonts w:ascii="Times New Roman" w:hAnsi="Times New Roman"/>
              </w:rPr>
              <w:t>Zmiany dotyczące składania zbiorczych deklaracji w podatku od czynności cywilnoprawnych będą dotyczyły tej grupy podatników, którzy dokonają więcej niż jednej transakcji w ciągu miesiąca.</w:t>
            </w:r>
            <w:r w:rsidR="00D41C6A" w:rsidRPr="002269DF">
              <w:rPr>
                <w:rFonts w:ascii="Times New Roman" w:hAnsi="Times New Roman"/>
              </w:rPr>
              <w:t xml:space="preserve"> Brak możliwości określenia konkretnej wielkości grupy.</w:t>
            </w:r>
          </w:p>
          <w:p w14:paraId="606B8522" w14:textId="77777777" w:rsidR="00CF4990" w:rsidRPr="002269DF" w:rsidRDefault="00CF4990" w:rsidP="00495D6D">
            <w:pPr>
              <w:spacing w:before="120" w:line="240" w:lineRule="auto"/>
              <w:jc w:val="both"/>
              <w:rPr>
                <w:rFonts w:ascii="Times New Roman" w:hAnsi="Times New Roman"/>
              </w:rPr>
            </w:pPr>
          </w:p>
        </w:tc>
        <w:tc>
          <w:tcPr>
            <w:tcW w:w="1701" w:type="dxa"/>
            <w:gridSpan w:val="7"/>
            <w:shd w:val="clear" w:color="auto" w:fill="auto"/>
          </w:tcPr>
          <w:p w14:paraId="17DF5BEB" w14:textId="77777777" w:rsidR="00CF4990" w:rsidRPr="002269DF" w:rsidRDefault="00CF4990" w:rsidP="00495D6D">
            <w:pPr>
              <w:spacing w:before="120" w:line="240" w:lineRule="auto"/>
              <w:jc w:val="center"/>
              <w:rPr>
                <w:rFonts w:ascii="Times New Roman" w:hAnsi="Times New Roman"/>
                <w:spacing w:val="-2"/>
              </w:rPr>
            </w:pPr>
          </w:p>
        </w:tc>
        <w:tc>
          <w:tcPr>
            <w:tcW w:w="2148" w:type="dxa"/>
            <w:gridSpan w:val="4"/>
            <w:shd w:val="clear" w:color="auto" w:fill="auto"/>
          </w:tcPr>
          <w:p w14:paraId="6ED615CB" w14:textId="7E56E871" w:rsidR="00CF4990" w:rsidRPr="002269DF" w:rsidRDefault="008F5512" w:rsidP="009060D1">
            <w:pPr>
              <w:spacing w:before="120" w:line="240" w:lineRule="auto"/>
              <w:rPr>
                <w:rFonts w:ascii="Times New Roman" w:hAnsi="Times New Roman"/>
              </w:rPr>
            </w:pPr>
            <w:r w:rsidRPr="002269DF">
              <w:rPr>
                <w:rFonts w:ascii="Times New Roman" w:hAnsi="Times New Roman"/>
              </w:rPr>
              <w:t>Zmniejszenie biurokratycznych obowiązków w zakresie składania deklaracji PCC, np.</w:t>
            </w:r>
            <w:r w:rsidR="009060D1">
              <w:rPr>
                <w:rFonts w:ascii="Times New Roman" w:hAnsi="Times New Roman"/>
              </w:rPr>
              <w:t> </w:t>
            </w:r>
            <w:r w:rsidRPr="002269DF">
              <w:rPr>
                <w:rFonts w:ascii="Times New Roman" w:hAnsi="Times New Roman"/>
              </w:rPr>
              <w:t>w przypadku przedsiębiorców dokonujących zakupu od osób fizycznych rzeczy używanych na</w:t>
            </w:r>
            <w:r w:rsidR="009060D1">
              <w:rPr>
                <w:rFonts w:ascii="Times New Roman" w:hAnsi="Times New Roman"/>
              </w:rPr>
              <w:t> </w:t>
            </w:r>
            <w:r w:rsidRPr="002269DF">
              <w:rPr>
                <w:rFonts w:ascii="Times New Roman" w:hAnsi="Times New Roman"/>
              </w:rPr>
              <w:t>potrzeby prowadzenia działalności gospodarczej.</w:t>
            </w:r>
          </w:p>
        </w:tc>
      </w:tr>
      <w:tr w:rsidR="00535CA3" w:rsidRPr="002269DF" w14:paraId="792228B5" w14:textId="77777777" w:rsidTr="00C86E37">
        <w:trPr>
          <w:gridAfter w:val="1"/>
          <w:wAfter w:w="10" w:type="dxa"/>
          <w:trHeight w:val="963"/>
        </w:trPr>
        <w:tc>
          <w:tcPr>
            <w:tcW w:w="1844" w:type="dxa"/>
            <w:gridSpan w:val="2"/>
            <w:shd w:val="clear" w:color="auto" w:fill="auto"/>
          </w:tcPr>
          <w:p w14:paraId="27CA368C" w14:textId="77777777" w:rsidR="00535CA3" w:rsidRPr="002269DF" w:rsidRDefault="003D3A81" w:rsidP="00495D6D">
            <w:pPr>
              <w:spacing w:before="120" w:line="240" w:lineRule="auto"/>
              <w:rPr>
                <w:rFonts w:ascii="Times New Roman" w:hAnsi="Times New Roman"/>
              </w:rPr>
            </w:pPr>
            <w:r w:rsidRPr="002269DF">
              <w:rPr>
                <w:rFonts w:ascii="Times New Roman" w:hAnsi="Times New Roman"/>
              </w:rPr>
              <w:t>Podatnicy podatków: od nieruchomości, od środków transportowych, rolnego i leśnego oraz opłaty reklamowej</w:t>
            </w:r>
          </w:p>
          <w:p w14:paraId="139B6058" w14:textId="77777777" w:rsidR="003D3A81" w:rsidRPr="002269DF" w:rsidRDefault="003D3A81" w:rsidP="00495D6D">
            <w:pPr>
              <w:spacing w:before="120" w:line="240" w:lineRule="auto"/>
              <w:rPr>
                <w:rFonts w:ascii="Times New Roman" w:hAnsi="Times New Roman"/>
              </w:rPr>
            </w:pPr>
            <w:r w:rsidRPr="002269DF">
              <w:rPr>
                <w:rFonts w:ascii="Times New Roman" w:hAnsi="Times New Roman"/>
              </w:rPr>
              <w:t>Organy podatkowe</w:t>
            </w:r>
          </w:p>
        </w:tc>
        <w:tc>
          <w:tcPr>
            <w:tcW w:w="5244" w:type="dxa"/>
            <w:gridSpan w:val="16"/>
            <w:shd w:val="clear" w:color="auto" w:fill="auto"/>
          </w:tcPr>
          <w:p w14:paraId="4ACBCE62" w14:textId="77777777" w:rsidR="0054100D" w:rsidRPr="002269DF" w:rsidRDefault="003D3A81" w:rsidP="00495D6D">
            <w:pPr>
              <w:spacing w:before="120" w:line="240" w:lineRule="auto"/>
              <w:jc w:val="both"/>
              <w:rPr>
                <w:rFonts w:ascii="Times New Roman" w:hAnsi="Times New Roman"/>
              </w:rPr>
            </w:pPr>
            <w:r w:rsidRPr="002269DF">
              <w:rPr>
                <w:rFonts w:ascii="Times New Roman" w:hAnsi="Times New Roman"/>
              </w:rPr>
              <w:t xml:space="preserve">Wszyscy podatnicy </w:t>
            </w:r>
          </w:p>
          <w:p w14:paraId="07B96B35" w14:textId="77777777" w:rsidR="003D3A81" w:rsidRPr="002269DF" w:rsidRDefault="003D3A81" w:rsidP="00495D6D">
            <w:pPr>
              <w:spacing w:before="120" w:line="240" w:lineRule="auto"/>
              <w:jc w:val="both"/>
              <w:rPr>
                <w:rFonts w:ascii="Times New Roman" w:hAnsi="Times New Roman"/>
              </w:rPr>
            </w:pPr>
            <w:r w:rsidRPr="002269DF">
              <w:rPr>
                <w:rFonts w:ascii="Times New Roman" w:hAnsi="Times New Roman"/>
              </w:rPr>
              <w:t>Organy podatkowe (wójtowie, burmistrzowie, prezydenci miast) - 2478</w:t>
            </w:r>
          </w:p>
        </w:tc>
        <w:tc>
          <w:tcPr>
            <w:tcW w:w="1701" w:type="dxa"/>
            <w:gridSpan w:val="7"/>
            <w:shd w:val="clear" w:color="auto" w:fill="auto"/>
          </w:tcPr>
          <w:p w14:paraId="6F528F6A" w14:textId="77777777" w:rsidR="00535CA3" w:rsidRPr="002269DF" w:rsidRDefault="00535CA3" w:rsidP="00495D6D">
            <w:pPr>
              <w:spacing w:before="120" w:line="240" w:lineRule="auto"/>
              <w:jc w:val="center"/>
              <w:rPr>
                <w:rFonts w:ascii="Times New Roman" w:hAnsi="Times New Roman"/>
                <w:spacing w:val="-2"/>
              </w:rPr>
            </w:pPr>
          </w:p>
        </w:tc>
        <w:tc>
          <w:tcPr>
            <w:tcW w:w="2148" w:type="dxa"/>
            <w:gridSpan w:val="4"/>
            <w:shd w:val="clear" w:color="auto" w:fill="auto"/>
          </w:tcPr>
          <w:p w14:paraId="4D54DA6E" w14:textId="746B3172" w:rsidR="00535CA3" w:rsidRPr="002269DF" w:rsidRDefault="003D3A81" w:rsidP="00495D6D">
            <w:pPr>
              <w:spacing w:before="120" w:line="240" w:lineRule="auto"/>
              <w:rPr>
                <w:rFonts w:ascii="Times New Roman" w:hAnsi="Times New Roman"/>
              </w:rPr>
            </w:pPr>
            <w:r w:rsidRPr="002269DF">
              <w:rPr>
                <w:rFonts w:ascii="Times New Roman" w:hAnsi="Times New Roman"/>
              </w:rPr>
              <w:t>Poprawa warunków dokonywania rozliczeń z tytułu wymienionych podatków i opłaty reklamowej</w:t>
            </w:r>
            <w:r w:rsidR="009060D1">
              <w:rPr>
                <w:rFonts w:ascii="Times New Roman" w:hAnsi="Times New Roman"/>
              </w:rPr>
              <w:t xml:space="preserve"> </w:t>
            </w:r>
            <w:r w:rsidR="004B6DCA" w:rsidRPr="002269DF">
              <w:rPr>
                <w:rFonts w:ascii="Times New Roman" w:hAnsi="Times New Roman"/>
              </w:rPr>
              <w:t>poprzez</w:t>
            </w:r>
            <w:r w:rsidR="009060D1">
              <w:rPr>
                <w:rFonts w:ascii="Times New Roman" w:hAnsi="Times New Roman"/>
              </w:rPr>
              <w:t> </w:t>
            </w:r>
            <w:r w:rsidR="004B6DCA" w:rsidRPr="002269DF">
              <w:rPr>
                <w:rFonts w:ascii="Times New Roman" w:hAnsi="Times New Roman"/>
              </w:rPr>
              <w:t xml:space="preserve">wprowadzenie jednolitych formularzy informacji </w:t>
            </w:r>
            <w:r w:rsidR="004B6DCA" w:rsidRPr="002269DF">
              <w:rPr>
                <w:rFonts w:ascii="Times New Roman" w:hAnsi="Times New Roman"/>
              </w:rPr>
              <w:lastRenderedPageBreak/>
              <w:t>i</w:t>
            </w:r>
            <w:r w:rsidR="00495D6D" w:rsidRPr="002269DF">
              <w:rPr>
                <w:rFonts w:ascii="Times New Roman" w:hAnsi="Times New Roman"/>
              </w:rPr>
              <w:t> </w:t>
            </w:r>
            <w:r w:rsidR="004B6DCA" w:rsidRPr="002269DF">
              <w:rPr>
                <w:rFonts w:ascii="Times New Roman" w:hAnsi="Times New Roman"/>
              </w:rPr>
              <w:t>deklaracji podatkowych obowiązujących na</w:t>
            </w:r>
            <w:r w:rsidR="009060D1">
              <w:rPr>
                <w:rFonts w:ascii="Times New Roman" w:hAnsi="Times New Roman"/>
              </w:rPr>
              <w:t> </w:t>
            </w:r>
            <w:r w:rsidR="004B6DCA" w:rsidRPr="002269DF">
              <w:rPr>
                <w:rFonts w:ascii="Times New Roman" w:hAnsi="Times New Roman"/>
              </w:rPr>
              <w:t>terytorium RP oraz umożliwienie ich składania w</w:t>
            </w:r>
            <w:r w:rsidR="009060D1">
              <w:rPr>
                <w:rFonts w:ascii="Times New Roman" w:hAnsi="Times New Roman"/>
              </w:rPr>
              <w:t> </w:t>
            </w:r>
            <w:r w:rsidR="004B6DCA" w:rsidRPr="002269DF">
              <w:rPr>
                <w:rFonts w:ascii="Times New Roman" w:hAnsi="Times New Roman"/>
              </w:rPr>
              <w:t>formie  elektronicznej</w:t>
            </w:r>
            <w:r w:rsidR="00A62528" w:rsidRPr="002269DF">
              <w:rPr>
                <w:rFonts w:ascii="Times New Roman" w:hAnsi="Times New Roman"/>
              </w:rPr>
              <w:t>.</w:t>
            </w:r>
          </w:p>
          <w:p w14:paraId="4B4C90CA" w14:textId="03701CA4" w:rsidR="004D5CD9" w:rsidRPr="002269DF" w:rsidRDefault="004D5CD9" w:rsidP="00495D6D">
            <w:pPr>
              <w:spacing w:before="120" w:line="240" w:lineRule="auto"/>
              <w:rPr>
                <w:rFonts w:ascii="Times New Roman" w:hAnsi="Times New Roman"/>
              </w:rPr>
            </w:pPr>
            <w:r w:rsidRPr="002269DF">
              <w:rPr>
                <w:rFonts w:ascii="Times New Roman" w:hAnsi="Times New Roman"/>
              </w:rPr>
              <w:t>Wprowadzenie jednolity</w:t>
            </w:r>
            <w:r w:rsidR="00EE72C5" w:rsidRPr="002269DF">
              <w:rPr>
                <w:rFonts w:ascii="Times New Roman" w:hAnsi="Times New Roman"/>
              </w:rPr>
              <w:t>ch formularzy ułatwi wypełnia</w:t>
            </w:r>
            <w:r w:rsidRPr="002269DF">
              <w:rPr>
                <w:rFonts w:ascii="Times New Roman" w:hAnsi="Times New Roman"/>
              </w:rPr>
              <w:t xml:space="preserve">nie obowiązków </w:t>
            </w:r>
            <w:r w:rsidR="00EE72C5" w:rsidRPr="002269DF">
              <w:rPr>
                <w:rFonts w:ascii="Times New Roman" w:hAnsi="Times New Roman"/>
              </w:rPr>
              <w:t>np.</w:t>
            </w:r>
            <w:r w:rsidR="009060D1">
              <w:rPr>
                <w:rFonts w:ascii="Times New Roman" w:hAnsi="Times New Roman"/>
              </w:rPr>
              <w:t> </w:t>
            </w:r>
            <w:r w:rsidRPr="002269DF">
              <w:rPr>
                <w:rFonts w:ascii="Times New Roman" w:hAnsi="Times New Roman"/>
              </w:rPr>
              <w:t xml:space="preserve">przez przedsiębiorców prowadzących działalność jednocześnie w </w:t>
            </w:r>
            <w:r w:rsidR="00EE72C5" w:rsidRPr="002269DF">
              <w:rPr>
                <w:rFonts w:ascii="Times New Roman" w:hAnsi="Times New Roman"/>
              </w:rPr>
              <w:t>wielu</w:t>
            </w:r>
            <w:r w:rsidRPr="002269DF">
              <w:rPr>
                <w:rFonts w:ascii="Times New Roman" w:hAnsi="Times New Roman"/>
              </w:rPr>
              <w:t xml:space="preserve"> regionach kraju. </w:t>
            </w:r>
          </w:p>
          <w:p w14:paraId="535B85A0" w14:textId="04EAC9E2" w:rsidR="003D3A81" w:rsidRPr="002269DF" w:rsidRDefault="003D3A81" w:rsidP="009060D1">
            <w:pPr>
              <w:spacing w:before="120" w:line="240" w:lineRule="auto"/>
              <w:rPr>
                <w:rFonts w:ascii="Times New Roman" w:hAnsi="Times New Roman"/>
              </w:rPr>
            </w:pPr>
            <w:r w:rsidRPr="002269DF">
              <w:rPr>
                <w:rFonts w:ascii="Times New Roman" w:hAnsi="Times New Roman"/>
              </w:rPr>
              <w:t>Ułatwienie w</w:t>
            </w:r>
            <w:r w:rsidR="009060D1">
              <w:rPr>
                <w:rFonts w:ascii="Times New Roman" w:hAnsi="Times New Roman"/>
              </w:rPr>
              <w:t> </w:t>
            </w:r>
            <w:r w:rsidRPr="002269DF">
              <w:rPr>
                <w:rFonts w:ascii="Times New Roman" w:hAnsi="Times New Roman"/>
              </w:rPr>
              <w:t>administrowaniu podatkami lokalnymi</w:t>
            </w:r>
            <w:r w:rsidR="004B6DCA" w:rsidRPr="002269DF">
              <w:rPr>
                <w:rFonts w:ascii="Times New Roman" w:hAnsi="Times New Roman"/>
              </w:rPr>
              <w:t xml:space="preserve">  wskutek umożliwienia składania deklaracji w formie elektronicznej (brak konieczności wprowadzania danych z formularzy papierowych oraz</w:t>
            </w:r>
            <w:r w:rsidR="009060D1">
              <w:rPr>
                <w:rFonts w:ascii="Times New Roman" w:hAnsi="Times New Roman"/>
              </w:rPr>
              <w:t> </w:t>
            </w:r>
            <w:r w:rsidR="00AB0F04" w:rsidRPr="002269DF">
              <w:rPr>
                <w:rFonts w:ascii="Times New Roman" w:hAnsi="Times New Roman"/>
              </w:rPr>
              <w:t>zmniejszenie kosztów przechowywania deklaracji papierowych)</w:t>
            </w:r>
            <w:r w:rsidR="00A62528" w:rsidRPr="002269DF">
              <w:rPr>
                <w:rFonts w:ascii="Times New Roman" w:hAnsi="Times New Roman"/>
              </w:rPr>
              <w:t>.</w:t>
            </w:r>
          </w:p>
        </w:tc>
      </w:tr>
      <w:tr w:rsidR="00B94B88" w:rsidRPr="002269DF" w14:paraId="0FF8A2FF" w14:textId="77777777" w:rsidTr="00C86E37">
        <w:trPr>
          <w:gridAfter w:val="1"/>
          <w:wAfter w:w="10" w:type="dxa"/>
          <w:trHeight w:val="963"/>
        </w:trPr>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14:paraId="2E80A2F0" w14:textId="77777777" w:rsidR="00B94B88" w:rsidRPr="002269DF" w:rsidRDefault="00B94B88" w:rsidP="00495D6D">
            <w:pPr>
              <w:spacing w:before="120" w:line="240" w:lineRule="auto"/>
              <w:rPr>
                <w:rFonts w:ascii="Times New Roman" w:hAnsi="Times New Roman"/>
              </w:rPr>
            </w:pPr>
            <w:r w:rsidRPr="002269DF">
              <w:rPr>
                <w:rFonts w:ascii="Times New Roman" w:hAnsi="Times New Roman"/>
              </w:rPr>
              <w:lastRenderedPageBreak/>
              <w:t>Podatnicy podatku akcyzowego</w:t>
            </w:r>
          </w:p>
        </w:tc>
        <w:tc>
          <w:tcPr>
            <w:tcW w:w="5244" w:type="dxa"/>
            <w:gridSpan w:val="16"/>
            <w:tcBorders>
              <w:top w:val="single" w:sz="4" w:space="0" w:color="auto"/>
              <w:left w:val="single" w:sz="4" w:space="0" w:color="auto"/>
              <w:bottom w:val="single" w:sz="4" w:space="0" w:color="auto"/>
              <w:right w:val="single" w:sz="4" w:space="0" w:color="auto"/>
            </w:tcBorders>
            <w:shd w:val="clear" w:color="auto" w:fill="auto"/>
          </w:tcPr>
          <w:p w14:paraId="17F79C58" w14:textId="3A5011C5" w:rsidR="00B94B88" w:rsidRPr="002269DF" w:rsidRDefault="00B94B88" w:rsidP="001B491B">
            <w:pPr>
              <w:spacing w:before="120" w:line="240" w:lineRule="auto"/>
              <w:jc w:val="both"/>
              <w:rPr>
                <w:rFonts w:ascii="Times New Roman" w:hAnsi="Times New Roman"/>
              </w:rPr>
            </w:pPr>
            <w:r w:rsidRPr="002269DF">
              <w:rPr>
                <w:rFonts w:ascii="Times New Roman" w:hAnsi="Times New Roman"/>
              </w:rPr>
              <w:t xml:space="preserve">Około </w:t>
            </w:r>
            <w:r w:rsidR="00582EC6" w:rsidRPr="002269DF">
              <w:rPr>
                <w:rFonts w:ascii="Times New Roman" w:hAnsi="Times New Roman"/>
              </w:rPr>
              <w:t xml:space="preserve">33 </w:t>
            </w:r>
            <w:r w:rsidRPr="002269DF">
              <w:rPr>
                <w:rFonts w:ascii="Times New Roman" w:hAnsi="Times New Roman"/>
              </w:rPr>
              <w:t xml:space="preserve">tys. podatników podatku akcyzowego - stan na </w:t>
            </w:r>
            <w:r w:rsidR="00582EC6" w:rsidRPr="002269DF">
              <w:rPr>
                <w:rFonts w:ascii="Times New Roman" w:hAnsi="Times New Roman"/>
              </w:rPr>
              <w:t>koniec</w:t>
            </w:r>
            <w:r w:rsidRPr="002269DF">
              <w:rPr>
                <w:rFonts w:ascii="Times New Roman" w:hAnsi="Times New Roman"/>
              </w:rPr>
              <w:t xml:space="preserve"> 2016 r. </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11359691" w14:textId="77777777" w:rsidR="00B94B88" w:rsidRPr="002269DF" w:rsidRDefault="00B94B88" w:rsidP="00495D6D">
            <w:pPr>
              <w:spacing w:before="120" w:line="240" w:lineRule="auto"/>
              <w:rPr>
                <w:rFonts w:ascii="Times New Roman" w:hAnsi="Times New Roman"/>
                <w:spacing w:val="-2"/>
              </w:rPr>
            </w:pPr>
            <w:r w:rsidRPr="002269DF">
              <w:rPr>
                <w:rFonts w:ascii="Times New Roman" w:hAnsi="Times New Roman"/>
                <w:spacing w:val="-2"/>
              </w:rPr>
              <w:t xml:space="preserve">Okresowe sprawozdania przekazywane do MF przez izby </w:t>
            </w:r>
            <w:r w:rsidR="00582EC6" w:rsidRPr="002269DF">
              <w:rPr>
                <w:rFonts w:ascii="Times New Roman" w:hAnsi="Times New Roman"/>
                <w:spacing w:val="-2"/>
              </w:rPr>
              <w:t>administracji skarbowej</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tcPr>
          <w:p w14:paraId="4FDDEDCD" w14:textId="77777777" w:rsidR="00B94B88" w:rsidRPr="002269DF" w:rsidRDefault="00B94B88" w:rsidP="00CC206B">
            <w:pPr>
              <w:spacing w:before="120" w:line="240" w:lineRule="auto"/>
              <w:rPr>
                <w:rFonts w:ascii="Times New Roman" w:hAnsi="Times New Roman"/>
              </w:rPr>
            </w:pPr>
            <w:r w:rsidRPr="002269DF">
              <w:rPr>
                <w:rFonts w:ascii="Times New Roman" w:hAnsi="Times New Roman"/>
              </w:rPr>
              <w:t>Wprowadzane zmiany w zakresie podatku akcyzowego ułatwią podatnikom prowadzenie działalności gospodarczej w</w:t>
            </w:r>
            <w:r w:rsidR="00495D6D" w:rsidRPr="002269DF">
              <w:rPr>
                <w:rFonts w:ascii="Times New Roman" w:hAnsi="Times New Roman"/>
              </w:rPr>
              <w:t> </w:t>
            </w:r>
            <w:r w:rsidRPr="002269DF">
              <w:rPr>
                <w:rFonts w:ascii="Times New Roman" w:hAnsi="Times New Roman"/>
              </w:rPr>
              <w:t>zakresie obrotu wyrobami akcyzowymi (skrócenie procedur administracyjnych, ograniczenie dokumentacji,  ob</w:t>
            </w:r>
            <w:r w:rsidR="008D07EF" w:rsidRPr="002269DF">
              <w:rPr>
                <w:rFonts w:ascii="Times New Roman" w:hAnsi="Times New Roman"/>
              </w:rPr>
              <w:t>niżenie kosztów działalności</w:t>
            </w:r>
            <w:r w:rsidR="00582EC6" w:rsidRPr="002269DF">
              <w:rPr>
                <w:rFonts w:ascii="Times New Roman" w:hAnsi="Times New Roman"/>
              </w:rPr>
              <w:t>,</w:t>
            </w:r>
            <w:r w:rsidR="00CC206B" w:rsidRPr="002269DF">
              <w:rPr>
                <w:rFonts w:ascii="Times New Roman" w:hAnsi="Times New Roman"/>
              </w:rPr>
              <w:t xml:space="preserve"> zastąpienie kodów CN</w:t>
            </w:r>
            <w:r w:rsidR="008D07EF" w:rsidRPr="002269DF">
              <w:rPr>
                <w:rFonts w:ascii="Times New Roman" w:hAnsi="Times New Roman"/>
              </w:rPr>
              <w:t xml:space="preserve">). </w:t>
            </w:r>
          </w:p>
        </w:tc>
      </w:tr>
      <w:tr w:rsidR="00396898" w:rsidRPr="002269DF" w14:paraId="0D54BAA1" w14:textId="77777777" w:rsidTr="00DE2C77">
        <w:trPr>
          <w:gridAfter w:val="1"/>
          <w:wAfter w:w="10" w:type="dxa"/>
          <w:trHeight w:val="421"/>
        </w:trPr>
        <w:tc>
          <w:tcPr>
            <w:tcW w:w="1844" w:type="dxa"/>
            <w:gridSpan w:val="2"/>
            <w:shd w:val="clear" w:color="auto" w:fill="auto"/>
          </w:tcPr>
          <w:p w14:paraId="5091DC17" w14:textId="77777777" w:rsidR="007E3481" w:rsidRPr="002269DF" w:rsidRDefault="007E3481" w:rsidP="00495D6D">
            <w:pPr>
              <w:spacing w:before="120" w:line="240" w:lineRule="auto"/>
              <w:rPr>
                <w:rFonts w:ascii="Times New Roman" w:hAnsi="Times New Roman"/>
              </w:rPr>
            </w:pPr>
            <w:r w:rsidRPr="002269DF">
              <w:rPr>
                <w:rFonts w:ascii="Times New Roman" w:hAnsi="Times New Roman"/>
              </w:rPr>
              <w:t>Podatnicy podatku od towarów i usług</w:t>
            </w:r>
          </w:p>
          <w:p w14:paraId="06B534D4" w14:textId="77777777" w:rsidR="005D2F04" w:rsidRPr="002269DF" w:rsidRDefault="005D2F04" w:rsidP="00495D6D">
            <w:pPr>
              <w:spacing w:before="120" w:line="240" w:lineRule="auto"/>
              <w:rPr>
                <w:rFonts w:ascii="Times New Roman" w:hAnsi="Times New Roman"/>
              </w:rPr>
            </w:pPr>
          </w:p>
          <w:p w14:paraId="70B84DA7" w14:textId="77777777" w:rsidR="00B5124A" w:rsidRPr="002269DF" w:rsidRDefault="00B5124A" w:rsidP="00495D6D">
            <w:pPr>
              <w:spacing w:before="120" w:line="240" w:lineRule="auto"/>
              <w:rPr>
                <w:rFonts w:ascii="Times New Roman" w:hAnsi="Times New Roman"/>
              </w:rPr>
            </w:pPr>
          </w:p>
          <w:p w14:paraId="6987F90D" w14:textId="77777777" w:rsidR="000D7BAB" w:rsidRPr="002269DF" w:rsidRDefault="000D7BAB" w:rsidP="00495D6D">
            <w:pPr>
              <w:spacing w:before="120" w:line="240" w:lineRule="auto"/>
              <w:rPr>
                <w:rFonts w:ascii="Times New Roman" w:hAnsi="Times New Roman"/>
              </w:rPr>
            </w:pPr>
          </w:p>
          <w:p w14:paraId="206A4B74" w14:textId="77777777" w:rsidR="000D7BAB" w:rsidRPr="002269DF" w:rsidRDefault="000D7BAB" w:rsidP="00495D6D">
            <w:pPr>
              <w:spacing w:before="120" w:line="240" w:lineRule="auto"/>
              <w:rPr>
                <w:rFonts w:ascii="Times New Roman" w:hAnsi="Times New Roman"/>
              </w:rPr>
            </w:pPr>
          </w:p>
          <w:p w14:paraId="28DD71EA" w14:textId="77777777" w:rsidR="000D7BAB" w:rsidRPr="002269DF" w:rsidRDefault="000D7BAB" w:rsidP="00495D6D">
            <w:pPr>
              <w:spacing w:before="120" w:line="240" w:lineRule="auto"/>
              <w:rPr>
                <w:rFonts w:ascii="Times New Roman" w:hAnsi="Times New Roman"/>
              </w:rPr>
            </w:pPr>
          </w:p>
          <w:p w14:paraId="5267F081" w14:textId="77777777" w:rsidR="000D7BAB" w:rsidRPr="002269DF" w:rsidRDefault="000D7BAB" w:rsidP="00495D6D">
            <w:pPr>
              <w:spacing w:before="120" w:line="240" w:lineRule="auto"/>
              <w:rPr>
                <w:rFonts w:ascii="Times New Roman" w:hAnsi="Times New Roman"/>
              </w:rPr>
            </w:pPr>
          </w:p>
          <w:p w14:paraId="78825E2D" w14:textId="77777777" w:rsidR="000D7BAB" w:rsidRPr="002269DF" w:rsidRDefault="000D7BAB" w:rsidP="00495D6D">
            <w:pPr>
              <w:spacing w:before="120" w:line="240" w:lineRule="auto"/>
              <w:rPr>
                <w:rFonts w:ascii="Times New Roman" w:hAnsi="Times New Roman"/>
              </w:rPr>
            </w:pPr>
          </w:p>
          <w:p w14:paraId="3C63D1F8" w14:textId="77777777" w:rsidR="000D7BAB" w:rsidRPr="002269DF" w:rsidRDefault="000D7BAB" w:rsidP="00495D6D">
            <w:pPr>
              <w:spacing w:before="120" w:line="240" w:lineRule="auto"/>
              <w:rPr>
                <w:rFonts w:ascii="Times New Roman" w:hAnsi="Times New Roman"/>
              </w:rPr>
            </w:pPr>
          </w:p>
          <w:p w14:paraId="5C7AE70A" w14:textId="77777777" w:rsidR="000D7BAB" w:rsidRPr="002269DF" w:rsidRDefault="000D7BAB" w:rsidP="00495D6D">
            <w:pPr>
              <w:spacing w:before="120" w:line="240" w:lineRule="auto"/>
              <w:rPr>
                <w:rFonts w:ascii="Times New Roman" w:hAnsi="Times New Roman"/>
              </w:rPr>
            </w:pPr>
          </w:p>
          <w:p w14:paraId="71FE6390" w14:textId="77777777" w:rsidR="000D7BAB" w:rsidRPr="002269DF" w:rsidRDefault="000D7BAB" w:rsidP="00495D6D">
            <w:pPr>
              <w:spacing w:before="120" w:line="240" w:lineRule="auto"/>
              <w:rPr>
                <w:rFonts w:ascii="Times New Roman" w:hAnsi="Times New Roman"/>
              </w:rPr>
            </w:pPr>
          </w:p>
          <w:p w14:paraId="473E91F5" w14:textId="77777777" w:rsidR="000D7BAB" w:rsidRPr="002269DF" w:rsidRDefault="000D7BAB" w:rsidP="00495D6D">
            <w:pPr>
              <w:spacing w:before="120" w:line="240" w:lineRule="auto"/>
              <w:rPr>
                <w:rFonts w:ascii="Times New Roman" w:hAnsi="Times New Roman"/>
              </w:rPr>
            </w:pPr>
          </w:p>
          <w:p w14:paraId="46724D94" w14:textId="77777777" w:rsidR="000D7BAB" w:rsidRPr="002269DF" w:rsidRDefault="000D7BAB" w:rsidP="00495D6D">
            <w:pPr>
              <w:spacing w:before="120" w:line="240" w:lineRule="auto"/>
              <w:rPr>
                <w:rFonts w:ascii="Times New Roman" w:hAnsi="Times New Roman"/>
              </w:rPr>
            </w:pPr>
          </w:p>
          <w:p w14:paraId="2A16FDFC" w14:textId="77777777" w:rsidR="000D7BAB" w:rsidRPr="002269DF" w:rsidRDefault="000D7BAB" w:rsidP="00495D6D">
            <w:pPr>
              <w:spacing w:before="120" w:line="240" w:lineRule="auto"/>
              <w:rPr>
                <w:rFonts w:ascii="Times New Roman" w:hAnsi="Times New Roman"/>
              </w:rPr>
            </w:pPr>
          </w:p>
          <w:p w14:paraId="4F1A7082" w14:textId="77777777" w:rsidR="000D7BAB" w:rsidRPr="002269DF" w:rsidRDefault="000D7BAB" w:rsidP="00495D6D">
            <w:pPr>
              <w:spacing w:before="120" w:line="240" w:lineRule="auto"/>
              <w:rPr>
                <w:rFonts w:ascii="Times New Roman" w:hAnsi="Times New Roman"/>
              </w:rPr>
            </w:pPr>
          </w:p>
          <w:p w14:paraId="445AFB66" w14:textId="77777777" w:rsidR="000D7BAB" w:rsidRPr="002269DF" w:rsidRDefault="000D7BAB" w:rsidP="00495D6D">
            <w:pPr>
              <w:spacing w:before="120" w:line="240" w:lineRule="auto"/>
              <w:rPr>
                <w:rFonts w:ascii="Times New Roman" w:hAnsi="Times New Roman"/>
              </w:rPr>
            </w:pPr>
          </w:p>
          <w:p w14:paraId="716B5F87" w14:textId="77777777" w:rsidR="007E3481" w:rsidRPr="002269DF" w:rsidRDefault="005D2F04" w:rsidP="00495D6D">
            <w:pPr>
              <w:spacing w:before="120" w:line="240" w:lineRule="auto"/>
              <w:rPr>
                <w:rFonts w:ascii="Times New Roman" w:hAnsi="Times New Roman"/>
              </w:rPr>
            </w:pPr>
            <w:r w:rsidRPr="002269DF">
              <w:rPr>
                <w:rFonts w:ascii="Times New Roman" w:hAnsi="Times New Roman"/>
              </w:rPr>
              <w:t>U</w:t>
            </w:r>
            <w:r w:rsidR="00D32021" w:rsidRPr="002269DF">
              <w:rPr>
                <w:rFonts w:ascii="Times New Roman" w:hAnsi="Times New Roman"/>
              </w:rPr>
              <w:t>rzędy</w:t>
            </w:r>
            <w:r w:rsidR="00CB4367" w:rsidRPr="002269DF">
              <w:rPr>
                <w:rFonts w:ascii="Times New Roman" w:hAnsi="Times New Roman"/>
              </w:rPr>
              <w:t xml:space="preserve"> skarbowe </w:t>
            </w:r>
            <w:r w:rsidR="00D32021" w:rsidRPr="002269DF">
              <w:rPr>
                <w:rFonts w:ascii="Times New Roman" w:hAnsi="Times New Roman"/>
              </w:rPr>
              <w:t xml:space="preserve"> i izby </w:t>
            </w:r>
            <w:r w:rsidR="00CB4367" w:rsidRPr="002269DF">
              <w:rPr>
                <w:rFonts w:ascii="Times New Roman" w:hAnsi="Times New Roman"/>
              </w:rPr>
              <w:t xml:space="preserve">administracji </w:t>
            </w:r>
            <w:r w:rsidR="00D32021" w:rsidRPr="002269DF">
              <w:rPr>
                <w:rFonts w:ascii="Times New Roman" w:hAnsi="Times New Roman"/>
              </w:rPr>
              <w:t>skarbowe</w:t>
            </w:r>
            <w:r w:rsidR="00CB4367" w:rsidRPr="002269DF">
              <w:rPr>
                <w:rFonts w:ascii="Times New Roman" w:hAnsi="Times New Roman"/>
              </w:rPr>
              <w:t>j</w:t>
            </w:r>
            <w:r w:rsidR="00D32021" w:rsidRPr="002269DF">
              <w:rPr>
                <w:rFonts w:ascii="Times New Roman" w:hAnsi="Times New Roman"/>
              </w:rPr>
              <w:t xml:space="preserve"> oraz organy celne</w:t>
            </w:r>
          </w:p>
        </w:tc>
        <w:tc>
          <w:tcPr>
            <w:tcW w:w="5244" w:type="dxa"/>
            <w:gridSpan w:val="16"/>
            <w:shd w:val="clear" w:color="auto" w:fill="auto"/>
          </w:tcPr>
          <w:p w14:paraId="3F3CB854" w14:textId="77777777" w:rsidR="00B61E7F" w:rsidRPr="002269DF" w:rsidRDefault="00B61E7F" w:rsidP="00495D6D">
            <w:pPr>
              <w:spacing w:before="120" w:line="240" w:lineRule="auto"/>
              <w:jc w:val="both"/>
              <w:rPr>
                <w:rFonts w:ascii="Times New Roman" w:hAnsi="Times New Roman"/>
              </w:rPr>
            </w:pPr>
            <w:r w:rsidRPr="002269DF">
              <w:rPr>
                <w:rFonts w:ascii="Times New Roman" w:hAnsi="Times New Roman"/>
              </w:rPr>
              <w:lastRenderedPageBreak/>
              <w:t>Proponowane rozwiązania, mogą</w:t>
            </w:r>
            <w:r w:rsidR="009758CB" w:rsidRPr="002269DF">
              <w:rPr>
                <w:rFonts w:ascii="Times New Roman" w:hAnsi="Times New Roman"/>
              </w:rPr>
              <w:t xml:space="preserve"> dotyczyć</w:t>
            </w:r>
            <w:r w:rsidRPr="002269DF">
              <w:rPr>
                <w:rFonts w:ascii="Times New Roman" w:hAnsi="Times New Roman"/>
              </w:rPr>
              <w:t xml:space="preserve"> wszystkich podatników podatku od towarów i usług  tj. ok. 1.</w:t>
            </w:r>
            <w:r w:rsidR="00D4692F" w:rsidRPr="002269DF">
              <w:rPr>
                <w:rFonts w:ascii="Times New Roman" w:hAnsi="Times New Roman"/>
              </w:rPr>
              <w:t>643</w:t>
            </w:r>
            <w:r w:rsidRPr="002269DF">
              <w:rPr>
                <w:rFonts w:ascii="Times New Roman" w:hAnsi="Times New Roman"/>
              </w:rPr>
              <w:t>.</w:t>
            </w:r>
            <w:r w:rsidR="00D4692F" w:rsidRPr="002269DF">
              <w:rPr>
                <w:rFonts w:ascii="Times New Roman" w:hAnsi="Times New Roman"/>
              </w:rPr>
              <w:t xml:space="preserve">595 </w:t>
            </w:r>
            <w:r w:rsidRPr="002269DF">
              <w:rPr>
                <w:rFonts w:ascii="Times New Roman" w:hAnsi="Times New Roman"/>
              </w:rPr>
              <w:t>(stan na koniec 2016 r.)</w:t>
            </w:r>
            <w:r w:rsidR="009A3B35" w:rsidRPr="002269DF">
              <w:rPr>
                <w:rFonts w:ascii="Times New Roman" w:hAnsi="Times New Roman"/>
              </w:rPr>
              <w:t xml:space="preserve"> Ponadto dotyczą</w:t>
            </w:r>
            <w:r w:rsidRPr="002269DF">
              <w:rPr>
                <w:rFonts w:ascii="Times New Roman" w:hAnsi="Times New Roman"/>
              </w:rPr>
              <w:t>:</w:t>
            </w:r>
          </w:p>
          <w:p w14:paraId="177832C7" w14:textId="77777777" w:rsidR="00A55D66" w:rsidRPr="002269DF" w:rsidRDefault="00A55D66" w:rsidP="00495D6D">
            <w:pPr>
              <w:numPr>
                <w:ilvl w:val="0"/>
                <w:numId w:val="2"/>
              </w:numPr>
              <w:spacing w:before="120" w:line="240" w:lineRule="auto"/>
              <w:ind w:left="556"/>
              <w:jc w:val="both"/>
              <w:rPr>
                <w:rFonts w:ascii="Times New Roman" w:hAnsi="Times New Roman"/>
              </w:rPr>
            </w:pPr>
            <w:r w:rsidRPr="002269DF">
              <w:rPr>
                <w:rFonts w:ascii="Times New Roman" w:hAnsi="Times New Roman"/>
              </w:rPr>
              <w:t xml:space="preserve">podatników, którzy występują o zwrot podatku w </w:t>
            </w:r>
            <w:r w:rsidRPr="002269DF">
              <w:rPr>
                <w:rFonts w:ascii="Times New Roman" w:hAnsi="Times New Roman"/>
              </w:rPr>
              <w:lastRenderedPageBreak/>
              <w:t>terminie 25 dni, 180 dni oraz podatników dokon</w:t>
            </w:r>
            <w:r w:rsidR="00CF2347" w:rsidRPr="002269DF">
              <w:rPr>
                <w:rFonts w:ascii="Times New Roman" w:hAnsi="Times New Roman"/>
              </w:rPr>
              <w:t xml:space="preserve">ujących </w:t>
            </w:r>
            <w:r w:rsidRPr="002269DF">
              <w:rPr>
                <w:rFonts w:ascii="Times New Roman" w:hAnsi="Times New Roman"/>
              </w:rPr>
              <w:t>dostawy towarów lub świadczenia usług poza terytorium kraju i niedokonujący</w:t>
            </w:r>
            <w:r w:rsidR="00CF2347" w:rsidRPr="002269DF">
              <w:rPr>
                <w:rFonts w:ascii="Times New Roman" w:hAnsi="Times New Roman"/>
              </w:rPr>
              <w:t>ch</w:t>
            </w:r>
            <w:r w:rsidR="009758CB" w:rsidRPr="002269DF">
              <w:rPr>
                <w:rFonts w:ascii="Times New Roman" w:hAnsi="Times New Roman"/>
              </w:rPr>
              <w:t xml:space="preserve"> sprzedaży opodatkowanej, </w:t>
            </w:r>
          </w:p>
          <w:p w14:paraId="7940C1F9" w14:textId="77777777" w:rsidR="00881785" w:rsidRPr="002269DF" w:rsidRDefault="00442FDC" w:rsidP="00495D6D">
            <w:pPr>
              <w:numPr>
                <w:ilvl w:val="0"/>
                <w:numId w:val="2"/>
              </w:numPr>
              <w:spacing w:before="120" w:line="240" w:lineRule="auto"/>
              <w:ind w:left="556"/>
              <w:jc w:val="both"/>
              <w:rPr>
                <w:rFonts w:ascii="Times New Roman" w:hAnsi="Times New Roman"/>
              </w:rPr>
            </w:pPr>
            <w:r w:rsidRPr="002269DF">
              <w:rPr>
                <w:rFonts w:ascii="Times New Roman" w:hAnsi="Times New Roman"/>
              </w:rPr>
              <w:t>drobnych przedsiębiorców, któr</w:t>
            </w:r>
            <w:r w:rsidR="00CF2347" w:rsidRPr="002269DF">
              <w:rPr>
                <w:rFonts w:ascii="Times New Roman" w:hAnsi="Times New Roman"/>
              </w:rPr>
              <w:t>ych</w:t>
            </w:r>
            <w:r w:rsidRPr="002269DF">
              <w:rPr>
                <w:rFonts w:ascii="Times New Roman" w:hAnsi="Times New Roman"/>
              </w:rPr>
              <w:t xml:space="preserve"> poziom obrotu </w:t>
            </w:r>
            <w:r w:rsidR="00CF2347" w:rsidRPr="002269DF">
              <w:rPr>
                <w:rFonts w:ascii="Times New Roman" w:hAnsi="Times New Roman"/>
              </w:rPr>
              <w:t xml:space="preserve">nie umożliwiał </w:t>
            </w:r>
            <w:r w:rsidRPr="002269DF">
              <w:rPr>
                <w:rFonts w:ascii="Times New Roman" w:hAnsi="Times New Roman"/>
              </w:rPr>
              <w:t xml:space="preserve">samodzielnego dokonywania zwrotu podatku </w:t>
            </w:r>
            <w:r w:rsidR="00B5124A" w:rsidRPr="002269DF">
              <w:rPr>
                <w:rFonts w:ascii="Times New Roman" w:hAnsi="Times New Roman"/>
              </w:rPr>
              <w:t xml:space="preserve">podróżnym </w:t>
            </w:r>
            <w:r w:rsidR="00CF2347" w:rsidRPr="002269DF">
              <w:rPr>
                <w:rFonts w:ascii="Times New Roman" w:hAnsi="Times New Roman"/>
              </w:rPr>
              <w:t xml:space="preserve">z państw trzecich </w:t>
            </w:r>
            <w:r w:rsidR="00B5124A" w:rsidRPr="002269DF">
              <w:rPr>
                <w:rFonts w:ascii="Times New Roman" w:hAnsi="Times New Roman"/>
              </w:rPr>
              <w:t xml:space="preserve">(wartość sprzedaży w przedziale 200 tys. - 400 tys. zł) </w:t>
            </w:r>
            <w:r w:rsidRPr="002269DF">
              <w:rPr>
                <w:rFonts w:ascii="Times New Roman" w:hAnsi="Times New Roman"/>
              </w:rPr>
              <w:t>oraz podmiot</w:t>
            </w:r>
            <w:r w:rsidR="00CF2347" w:rsidRPr="002269DF">
              <w:rPr>
                <w:rFonts w:ascii="Times New Roman" w:hAnsi="Times New Roman"/>
              </w:rPr>
              <w:t>ów</w:t>
            </w:r>
            <w:r w:rsidRPr="002269DF">
              <w:rPr>
                <w:rFonts w:ascii="Times New Roman" w:hAnsi="Times New Roman"/>
              </w:rPr>
              <w:t xml:space="preserve"> pośrednicząc</w:t>
            </w:r>
            <w:r w:rsidR="00CF2347" w:rsidRPr="002269DF">
              <w:rPr>
                <w:rFonts w:ascii="Times New Roman" w:hAnsi="Times New Roman"/>
              </w:rPr>
              <w:t>ych</w:t>
            </w:r>
            <w:r w:rsidRPr="002269DF">
              <w:rPr>
                <w:rFonts w:ascii="Times New Roman" w:hAnsi="Times New Roman"/>
              </w:rPr>
              <w:t xml:space="preserve"> w dokonywaniu </w:t>
            </w:r>
            <w:r w:rsidR="00CF2347" w:rsidRPr="002269DF">
              <w:rPr>
                <w:rFonts w:ascii="Times New Roman" w:hAnsi="Times New Roman"/>
              </w:rPr>
              <w:t xml:space="preserve">tego </w:t>
            </w:r>
            <w:r w:rsidRPr="002269DF">
              <w:rPr>
                <w:rFonts w:ascii="Times New Roman" w:hAnsi="Times New Roman"/>
              </w:rPr>
              <w:t>zwrotu.</w:t>
            </w:r>
            <w:r w:rsidR="00881785" w:rsidRPr="002269DF">
              <w:rPr>
                <w:rFonts w:ascii="Times New Roman" w:hAnsi="Times New Roman"/>
              </w:rPr>
              <w:t xml:space="preserve"> Z danych otrzymanych z Izb Skarbowych wynika, </w:t>
            </w:r>
            <w:r w:rsidR="00CF2347" w:rsidRPr="002269DF">
              <w:rPr>
                <w:rFonts w:ascii="Times New Roman" w:hAnsi="Times New Roman"/>
              </w:rPr>
              <w:t>że</w:t>
            </w:r>
            <w:r w:rsidR="00881785" w:rsidRPr="002269DF">
              <w:rPr>
                <w:rFonts w:ascii="Times New Roman" w:hAnsi="Times New Roman"/>
              </w:rPr>
              <w:t xml:space="preserve"> w </w:t>
            </w:r>
            <w:r w:rsidR="00D4692F" w:rsidRPr="002269DF">
              <w:rPr>
                <w:rFonts w:ascii="Times New Roman" w:hAnsi="Times New Roman"/>
              </w:rPr>
              <w:t xml:space="preserve">2016 </w:t>
            </w:r>
            <w:r w:rsidR="00881785" w:rsidRPr="002269DF">
              <w:rPr>
                <w:rFonts w:ascii="Times New Roman" w:hAnsi="Times New Roman"/>
              </w:rPr>
              <w:t>r. liczba podatników samodzielnie dokonujących zwrotu podatku VAT podróżnym zagranicznym to 5.</w:t>
            </w:r>
            <w:r w:rsidR="00D4692F" w:rsidRPr="002269DF">
              <w:rPr>
                <w:rFonts w:ascii="Times New Roman" w:hAnsi="Times New Roman"/>
              </w:rPr>
              <w:t xml:space="preserve">783 </w:t>
            </w:r>
            <w:r w:rsidR="00881785" w:rsidRPr="002269DF">
              <w:rPr>
                <w:rFonts w:ascii="Times New Roman" w:hAnsi="Times New Roman"/>
              </w:rPr>
              <w:t>na 6.</w:t>
            </w:r>
            <w:r w:rsidR="00D4692F" w:rsidRPr="002269DF">
              <w:rPr>
                <w:rFonts w:ascii="Times New Roman" w:hAnsi="Times New Roman"/>
              </w:rPr>
              <w:t xml:space="preserve">901 </w:t>
            </w:r>
            <w:r w:rsidR="00881785" w:rsidRPr="002269DF">
              <w:rPr>
                <w:rFonts w:ascii="Times New Roman" w:hAnsi="Times New Roman"/>
              </w:rPr>
              <w:t>przedsiębiorców uczestniczących w systemie TAX FREE. Zatem 1.</w:t>
            </w:r>
            <w:r w:rsidR="00392BBF" w:rsidRPr="002269DF">
              <w:rPr>
                <w:rFonts w:ascii="Times New Roman" w:hAnsi="Times New Roman"/>
              </w:rPr>
              <w:t xml:space="preserve">118 </w:t>
            </w:r>
            <w:r w:rsidR="00881785" w:rsidRPr="002269DF">
              <w:rPr>
                <w:rFonts w:ascii="Times New Roman" w:hAnsi="Times New Roman"/>
              </w:rPr>
              <w:t xml:space="preserve">podatników korzystało z operatorów pośrednich dokonujących tych zwrotów. </w:t>
            </w:r>
          </w:p>
          <w:p w14:paraId="445E6AD0" w14:textId="77777777" w:rsidR="007E3481" w:rsidRPr="002269DF" w:rsidRDefault="007E3481" w:rsidP="00495D6D">
            <w:pPr>
              <w:spacing w:before="120" w:line="240" w:lineRule="auto"/>
              <w:ind w:left="196"/>
              <w:jc w:val="both"/>
              <w:rPr>
                <w:rFonts w:ascii="Times New Roman" w:hAnsi="Times New Roman"/>
              </w:rPr>
            </w:pPr>
          </w:p>
        </w:tc>
        <w:tc>
          <w:tcPr>
            <w:tcW w:w="1701" w:type="dxa"/>
            <w:gridSpan w:val="7"/>
            <w:shd w:val="clear" w:color="auto" w:fill="auto"/>
          </w:tcPr>
          <w:p w14:paraId="7534830E" w14:textId="77777777" w:rsidR="007E3481" w:rsidRPr="002269DF" w:rsidRDefault="00B61E7F" w:rsidP="00495D6D">
            <w:pPr>
              <w:spacing w:before="120" w:line="240" w:lineRule="auto"/>
              <w:rPr>
                <w:rFonts w:ascii="Times New Roman" w:hAnsi="Times New Roman"/>
                <w:spacing w:val="-2"/>
                <w:highlight w:val="yellow"/>
              </w:rPr>
            </w:pPr>
            <w:r w:rsidRPr="002269DF">
              <w:rPr>
                <w:rFonts w:ascii="Times New Roman" w:hAnsi="Times New Roman"/>
                <w:spacing w:val="-2"/>
              </w:rPr>
              <w:lastRenderedPageBreak/>
              <w:t xml:space="preserve">Hurtownia danych SPR wg stanu na dzień </w:t>
            </w:r>
            <w:r w:rsidR="00D4692F" w:rsidRPr="002269DF">
              <w:rPr>
                <w:rFonts w:ascii="Times New Roman" w:hAnsi="Times New Roman"/>
                <w:spacing w:val="-2"/>
              </w:rPr>
              <w:t>25.01.2017</w:t>
            </w:r>
            <w:r w:rsidRPr="002269DF">
              <w:rPr>
                <w:rFonts w:ascii="Times New Roman" w:hAnsi="Times New Roman"/>
                <w:spacing w:val="-2"/>
              </w:rPr>
              <w:t xml:space="preserve"> r.</w:t>
            </w:r>
          </w:p>
          <w:p w14:paraId="7A949396" w14:textId="77777777" w:rsidR="00396898" w:rsidRPr="002269DF" w:rsidRDefault="00396898" w:rsidP="00495D6D">
            <w:pPr>
              <w:spacing w:before="120" w:line="240" w:lineRule="auto"/>
              <w:rPr>
                <w:rFonts w:ascii="Times New Roman" w:hAnsi="Times New Roman"/>
                <w:spacing w:val="-2"/>
                <w:highlight w:val="yellow"/>
              </w:rPr>
            </w:pPr>
          </w:p>
          <w:p w14:paraId="30EEEA16" w14:textId="77777777" w:rsidR="00396898" w:rsidRPr="002269DF" w:rsidRDefault="00396898" w:rsidP="00495D6D">
            <w:pPr>
              <w:spacing w:before="120" w:line="240" w:lineRule="auto"/>
              <w:rPr>
                <w:rFonts w:ascii="Times New Roman" w:hAnsi="Times New Roman"/>
                <w:spacing w:val="-2"/>
                <w:highlight w:val="yellow"/>
              </w:rPr>
            </w:pPr>
          </w:p>
          <w:p w14:paraId="58972CED" w14:textId="77777777" w:rsidR="00A55D66" w:rsidRPr="002269DF" w:rsidRDefault="00A55D66" w:rsidP="00495D6D">
            <w:pPr>
              <w:spacing w:before="120" w:line="240" w:lineRule="auto"/>
              <w:rPr>
                <w:rFonts w:ascii="Times New Roman" w:hAnsi="Times New Roman"/>
                <w:spacing w:val="-2"/>
              </w:rPr>
            </w:pPr>
          </w:p>
          <w:p w14:paraId="3AA35F42" w14:textId="77777777" w:rsidR="00A55D66" w:rsidRPr="002269DF" w:rsidRDefault="00A55D66" w:rsidP="00495D6D">
            <w:pPr>
              <w:spacing w:before="120" w:line="240" w:lineRule="auto"/>
              <w:rPr>
                <w:rFonts w:ascii="Times New Roman" w:hAnsi="Times New Roman"/>
                <w:spacing w:val="-2"/>
              </w:rPr>
            </w:pPr>
          </w:p>
          <w:p w14:paraId="288A34AE" w14:textId="77777777" w:rsidR="001D6557" w:rsidRPr="002269DF" w:rsidRDefault="001D6557" w:rsidP="00495D6D">
            <w:pPr>
              <w:spacing w:before="120" w:line="240" w:lineRule="auto"/>
              <w:rPr>
                <w:rFonts w:ascii="Times New Roman" w:hAnsi="Times New Roman"/>
                <w:spacing w:val="-2"/>
              </w:rPr>
            </w:pPr>
          </w:p>
          <w:p w14:paraId="5913B88C" w14:textId="77777777" w:rsidR="001D6557" w:rsidRPr="002269DF" w:rsidRDefault="001D6557" w:rsidP="00495D6D">
            <w:pPr>
              <w:spacing w:before="120" w:line="240" w:lineRule="auto"/>
              <w:rPr>
                <w:rFonts w:ascii="Times New Roman" w:hAnsi="Times New Roman"/>
                <w:spacing w:val="-2"/>
              </w:rPr>
            </w:pPr>
          </w:p>
          <w:p w14:paraId="649BBBAF" w14:textId="77777777" w:rsidR="001D6557" w:rsidRPr="002269DF" w:rsidRDefault="001D6557" w:rsidP="00495D6D">
            <w:pPr>
              <w:spacing w:before="120" w:line="240" w:lineRule="auto"/>
              <w:rPr>
                <w:rFonts w:ascii="Times New Roman" w:hAnsi="Times New Roman"/>
                <w:spacing w:val="-2"/>
              </w:rPr>
            </w:pPr>
          </w:p>
          <w:p w14:paraId="457C06D6" w14:textId="77777777" w:rsidR="001D6557" w:rsidRPr="002269DF" w:rsidRDefault="001D6557" w:rsidP="00495D6D">
            <w:pPr>
              <w:spacing w:before="120" w:line="240" w:lineRule="auto"/>
              <w:rPr>
                <w:rFonts w:ascii="Times New Roman" w:hAnsi="Times New Roman"/>
                <w:spacing w:val="-2"/>
              </w:rPr>
            </w:pPr>
          </w:p>
          <w:p w14:paraId="421F068D" w14:textId="77777777" w:rsidR="009A3EB5" w:rsidRPr="002269DF" w:rsidRDefault="009A3EB5" w:rsidP="00495D6D">
            <w:pPr>
              <w:spacing w:before="120" w:line="240" w:lineRule="auto"/>
              <w:rPr>
                <w:rFonts w:ascii="Times New Roman" w:hAnsi="Times New Roman"/>
                <w:spacing w:val="-2"/>
              </w:rPr>
            </w:pPr>
          </w:p>
          <w:p w14:paraId="3B4B1BA6" w14:textId="77777777" w:rsidR="00831C78" w:rsidRPr="002269DF" w:rsidRDefault="00831C78" w:rsidP="00495D6D">
            <w:pPr>
              <w:spacing w:before="120" w:line="240" w:lineRule="auto"/>
              <w:rPr>
                <w:rFonts w:ascii="Times New Roman" w:hAnsi="Times New Roman"/>
                <w:spacing w:val="-2"/>
              </w:rPr>
            </w:pPr>
          </w:p>
          <w:p w14:paraId="4B7093A2" w14:textId="77777777" w:rsidR="00831C78" w:rsidRPr="002269DF" w:rsidRDefault="00831C78" w:rsidP="00495D6D">
            <w:pPr>
              <w:spacing w:before="120" w:line="240" w:lineRule="auto"/>
              <w:rPr>
                <w:rFonts w:ascii="Times New Roman" w:hAnsi="Times New Roman"/>
                <w:spacing w:val="-2"/>
              </w:rPr>
            </w:pPr>
          </w:p>
          <w:p w14:paraId="38DC9002" w14:textId="77777777" w:rsidR="00B61E7F" w:rsidRPr="002269DF" w:rsidRDefault="00B61E7F" w:rsidP="00495D6D">
            <w:pPr>
              <w:spacing w:before="120" w:line="240" w:lineRule="auto"/>
              <w:rPr>
                <w:rFonts w:ascii="Times New Roman" w:hAnsi="Times New Roman"/>
                <w:spacing w:val="-2"/>
              </w:rPr>
            </w:pPr>
          </w:p>
          <w:p w14:paraId="008D749F" w14:textId="77777777" w:rsidR="00396898" w:rsidRPr="002269DF" w:rsidRDefault="00396898" w:rsidP="00495D6D">
            <w:pPr>
              <w:spacing w:before="120" w:line="240" w:lineRule="auto"/>
              <w:rPr>
                <w:rFonts w:ascii="Times New Roman" w:hAnsi="Times New Roman"/>
                <w:spacing w:val="-2"/>
                <w:highlight w:val="yellow"/>
              </w:rPr>
            </w:pPr>
          </w:p>
        </w:tc>
        <w:tc>
          <w:tcPr>
            <w:tcW w:w="2148" w:type="dxa"/>
            <w:gridSpan w:val="4"/>
            <w:shd w:val="clear" w:color="auto" w:fill="auto"/>
          </w:tcPr>
          <w:p w14:paraId="4DBFADB6" w14:textId="75B267FD" w:rsidR="00C86E37" w:rsidRPr="002269DF" w:rsidRDefault="00C86E37" w:rsidP="00495D6D">
            <w:pPr>
              <w:spacing w:before="120" w:line="240" w:lineRule="auto"/>
              <w:rPr>
                <w:rFonts w:ascii="Times New Roman" w:hAnsi="Times New Roman"/>
              </w:rPr>
            </w:pPr>
            <w:r w:rsidRPr="002269DF">
              <w:rPr>
                <w:rFonts w:ascii="Times New Roman" w:hAnsi="Times New Roman"/>
              </w:rPr>
              <w:lastRenderedPageBreak/>
              <w:t>Odstąpienie od</w:t>
            </w:r>
            <w:r w:rsidR="009060D1">
              <w:rPr>
                <w:rFonts w:ascii="Times New Roman" w:hAnsi="Times New Roman"/>
              </w:rPr>
              <w:t> </w:t>
            </w:r>
            <w:r w:rsidRPr="002269DF">
              <w:rPr>
                <w:rFonts w:ascii="Times New Roman" w:hAnsi="Times New Roman"/>
              </w:rPr>
              <w:t xml:space="preserve">wymagania odrębnego składania wraz z deklaracją umotywowanego </w:t>
            </w:r>
            <w:r w:rsidRPr="002269DF">
              <w:rPr>
                <w:rFonts w:ascii="Times New Roman" w:hAnsi="Times New Roman"/>
              </w:rPr>
              <w:lastRenderedPageBreak/>
              <w:t>wniosku o zwrot podatku oraz</w:t>
            </w:r>
            <w:r w:rsidR="009060D1">
              <w:rPr>
                <w:rFonts w:ascii="Times New Roman" w:hAnsi="Times New Roman"/>
              </w:rPr>
              <w:t> </w:t>
            </w:r>
            <w:r w:rsidRPr="002269DF">
              <w:rPr>
                <w:rFonts w:ascii="Times New Roman" w:hAnsi="Times New Roman"/>
              </w:rPr>
              <w:t>wniosku o zwrot w</w:t>
            </w:r>
            <w:r w:rsidR="00495D6D" w:rsidRPr="002269DF">
              <w:rPr>
                <w:rFonts w:ascii="Times New Roman" w:hAnsi="Times New Roman"/>
              </w:rPr>
              <w:t> </w:t>
            </w:r>
            <w:r w:rsidRPr="002269DF">
              <w:rPr>
                <w:rFonts w:ascii="Times New Roman" w:hAnsi="Times New Roman"/>
              </w:rPr>
              <w:t>przyspieszonym terminie</w:t>
            </w:r>
            <w:r w:rsidR="00B2474B" w:rsidRPr="002269DF">
              <w:rPr>
                <w:rFonts w:ascii="Times New Roman" w:hAnsi="Times New Roman"/>
              </w:rPr>
              <w:t>.</w:t>
            </w:r>
          </w:p>
          <w:p w14:paraId="4D77F091" w14:textId="045000F1" w:rsidR="007E2379" w:rsidRPr="002269DF" w:rsidRDefault="00C86E37" w:rsidP="009060D1">
            <w:pPr>
              <w:spacing w:before="120" w:line="240" w:lineRule="auto"/>
              <w:rPr>
                <w:rFonts w:ascii="Times New Roman" w:hAnsi="Times New Roman"/>
              </w:rPr>
            </w:pPr>
            <w:r w:rsidRPr="002269DF">
              <w:rPr>
                <w:rFonts w:ascii="Times New Roman" w:hAnsi="Times New Roman"/>
                <w:spacing w:val="-2"/>
              </w:rPr>
              <w:t>Skrócenie terminu</w:t>
            </w:r>
            <w:r w:rsidR="00095395" w:rsidRPr="002269DF">
              <w:rPr>
                <w:rFonts w:ascii="Times New Roman" w:hAnsi="Times New Roman"/>
                <w:spacing w:val="-2"/>
              </w:rPr>
              <w:t xml:space="preserve"> </w:t>
            </w:r>
            <w:r w:rsidRPr="002269DF">
              <w:rPr>
                <w:rFonts w:ascii="Times New Roman" w:hAnsi="Times New Roman"/>
                <w:spacing w:val="-2"/>
              </w:rPr>
              <w:t>umożliwiającego wierzycielowi zastosowanie przepisów regulujących „ulgę na</w:t>
            </w:r>
            <w:r w:rsidR="009060D1">
              <w:rPr>
                <w:rFonts w:ascii="Times New Roman" w:hAnsi="Times New Roman"/>
                <w:spacing w:val="-2"/>
              </w:rPr>
              <w:t> </w:t>
            </w:r>
            <w:r w:rsidRPr="002269DF">
              <w:rPr>
                <w:rFonts w:ascii="Times New Roman" w:hAnsi="Times New Roman"/>
                <w:spacing w:val="-2"/>
              </w:rPr>
              <w:t xml:space="preserve">złe długi”, </w:t>
            </w:r>
            <w:r w:rsidR="006202CB" w:rsidRPr="002269DF">
              <w:rPr>
                <w:rFonts w:ascii="Times New Roman" w:hAnsi="Times New Roman"/>
                <w:spacing w:val="-2"/>
              </w:rPr>
              <w:br/>
            </w:r>
            <w:r w:rsidRPr="002269DF">
              <w:rPr>
                <w:rFonts w:ascii="Times New Roman" w:hAnsi="Times New Roman"/>
                <w:spacing w:val="-2"/>
              </w:rPr>
              <w:t>co spowoduje zmniejszenie zobowiązania</w:t>
            </w:r>
            <w:r w:rsidR="00495D6D" w:rsidRPr="002269DF">
              <w:rPr>
                <w:rFonts w:ascii="Times New Roman" w:hAnsi="Times New Roman"/>
                <w:spacing w:val="-2"/>
              </w:rPr>
              <w:t xml:space="preserve"> </w:t>
            </w:r>
            <w:r w:rsidRPr="002269DF">
              <w:rPr>
                <w:rFonts w:ascii="Times New Roman" w:hAnsi="Times New Roman"/>
                <w:spacing w:val="-2"/>
              </w:rPr>
              <w:t>w</w:t>
            </w:r>
            <w:r w:rsidR="00495D6D" w:rsidRPr="002269DF">
              <w:rPr>
                <w:rFonts w:ascii="Times New Roman" w:hAnsi="Times New Roman"/>
                <w:spacing w:val="-2"/>
              </w:rPr>
              <w:t> </w:t>
            </w:r>
            <w:r w:rsidRPr="002269DF">
              <w:rPr>
                <w:rFonts w:ascii="Times New Roman" w:hAnsi="Times New Roman"/>
                <w:spacing w:val="-2"/>
              </w:rPr>
              <w:t xml:space="preserve">podatku poprawiając tym samym </w:t>
            </w:r>
            <w:r w:rsidR="00B2474B" w:rsidRPr="002269DF">
              <w:rPr>
                <w:rFonts w:ascii="Times New Roman" w:hAnsi="Times New Roman"/>
                <w:spacing w:val="-2"/>
              </w:rPr>
              <w:t xml:space="preserve">sytuację </w:t>
            </w:r>
            <w:r w:rsidRPr="002269DF">
              <w:rPr>
                <w:rFonts w:ascii="Times New Roman" w:hAnsi="Times New Roman"/>
                <w:spacing w:val="-2"/>
              </w:rPr>
              <w:t xml:space="preserve">finansową przedsiębiorców </w:t>
            </w:r>
            <w:r w:rsidR="006202CB" w:rsidRPr="002269DF">
              <w:rPr>
                <w:rFonts w:ascii="Times New Roman" w:hAnsi="Times New Roman"/>
                <w:spacing w:val="-2"/>
              </w:rPr>
              <w:br/>
            </w:r>
            <w:r w:rsidRPr="002269DF">
              <w:rPr>
                <w:rFonts w:ascii="Times New Roman" w:hAnsi="Times New Roman"/>
                <w:spacing w:val="-2"/>
              </w:rPr>
              <w:t xml:space="preserve">i zmniejszenie zatorów płatniczych w obrocie gospodarczym. </w:t>
            </w:r>
            <w:r w:rsidR="00294402" w:rsidRPr="002269DF">
              <w:rPr>
                <w:rFonts w:ascii="Times New Roman" w:hAnsi="Times New Roman"/>
                <w:spacing w:val="-2"/>
              </w:rPr>
              <w:t xml:space="preserve">Rocznie z ulgi na złe długi korzysta ok. 15 tys. - 20 tys. </w:t>
            </w:r>
            <w:r w:rsidR="00826A94" w:rsidRPr="002269DF">
              <w:rPr>
                <w:rFonts w:ascii="Times New Roman" w:hAnsi="Times New Roman"/>
                <w:spacing w:val="-2"/>
              </w:rPr>
              <w:t>podatników.</w:t>
            </w:r>
          </w:p>
        </w:tc>
      </w:tr>
      <w:tr w:rsidR="00C86E37" w:rsidRPr="002269DF" w14:paraId="2A2D6547" w14:textId="77777777" w:rsidTr="00C86E37">
        <w:trPr>
          <w:gridAfter w:val="1"/>
          <w:wAfter w:w="10" w:type="dxa"/>
          <w:trHeight w:val="2676"/>
        </w:trPr>
        <w:tc>
          <w:tcPr>
            <w:tcW w:w="1844" w:type="dxa"/>
            <w:gridSpan w:val="2"/>
            <w:shd w:val="clear" w:color="auto" w:fill="auto"/>
          </w:tcPr>
          <w:p w14:paraId="06885EB3" w14:textId="77777777" w:rsidR="00C86E37" w:rsidRPr="002269DF" w:rsidRDefault="00C86E37" w:rsidP="00495D6D">
            <w:pPr>
              <w:spacing w:line="240" w:lineRule="auto"/>
              <w:jc w:val="both"/>
              <w:rPr>
                <w:rFonts w:ascii="Times New Roman" w:hAnsi="Times New Roman"/>
                <w:color w:val="000000"/>
              </w:rPr>
            </w:pPr>
            <w:r w:rsidRPr="002269DF">
              <w:rPr>
                <w:rFonts w:ascii="Times New Roman" w:hAnsi="Times New Roman"/>
                <w:color w:val="000000"/>
              </w:rPr>
              <w:lastRenderedPageBreak/>
              <w:t>Podatnicy i</w:t>
            </w:r>
            <w:r w:rsidR="00495D6D" w:rsidRPr="002269DF">
              <w:rPr>
                <w:rFonts w:ascii="Times New Roman" w:hAnsi="Times New Roman"/>
                <w:color w:val="000000"/>
              </w:rPr>
              <w:t> </w:t>
            </w:r>
            <w:r w:rsidRPr="002269DF">
              <w:rPr>
                <w:rFonts w:ascii="Times New Roman" w:hAnsi="Times New Roman"/>
                <w:color w:val="000000"/>
              </w:rPr>
              <w:t>administracja skarbowa</w:t>
            </w:r>
          </w:p>
          <w:p w14:paraId="38A5B2F3" w14:textId="77777777" w:rsidR="00C86E37" w:rsidRPr="002269DF" w:rsidRDefault="00C86E37" w:rsidP="00495D6D">
            <w:pPr>
              <w:spacing w:line="240" w:lineRule="auto"/>
              <w:jc w:val="both"/>
              <w:rPr>
                <w:rFonts w:ascii="Times New Roman" w:hAnsi="Times New Roman"/>
                <w:color w:val="000000"/>
              </w:rPr>
            </w:pPr>
          </w:p>
          <w:p w14:paraId="47CED76A" w14:textId="77777777" w:rsidR="00C86E37" w:rsidRPr="002269DF" w:rsidRDefault="00C86E37" w:rsidP="00495D6D">
            <w:pPr>
              <w:spacing w:line="240" w:lineRule="auto"/>
              <w:jc w:val="both"/>
              <w:rPr>
                <w:rFonts w:ascii="Times New Roman" w:hAnsi="Times New Roman"/>
                <w:color w:val="000000"/>
              </w:rPr>
            </w:pPr>
          </w:p>
          <w:p w14:paraId="652ACDC1" w14:textId="77777777" w:rsidR="00C86E37" w:rsidRPr="002269DF" w:rsidRDefault="00C86E37" w:rsidP="00495D6D">
            <w:pPr>
              <w:spacing w:line="240" w:lineRule="auto"/>
              <w:jc w:val="both"/>
              <w:rPr>
                <w:rFonts w:ascii="Times New Roman" w:hAnsi="Times New Roman"/>
                <w:color w:val="000000"/>
              </w:rPr>
            </w:pPr>
          </w:p>
          <w:p w14:paraId="3624538F" w14:textId="77777777" w:rsidR="00C86E37" w:rsidRPr="002269DF" w:rsidRDefault="00C86E37" w:rsidP="00495D6D">
            <w:pPr>
              <w:spacing w:line="240" w:lineRule="auto"/>
              <w:jc w:val="both"/>
              <w:rPr>
                <w:rFonts w:ascii="Times New Roman" w:hAnsi="Times New Roman"/>
                <w:color w:val="000000"/>
              </w:rPr>
            </w:pPr>
          </w:p>
          <w:p w14:paraId="2AA664C0" w14:textId="77777777" w:rsidR="00C86E37" w:rsidRPr="002269DF" w:rsidRDefault="00C86E37" w:rsidP="00495D6D">
            <w:pPr>
              <w:spacing w:line="240" w:lineRule="auto"/>
              <w:jc w:val="both"/>
              <w:rPr>
                <w:rFonts w:ascii="Times New Roman" w:hAnsi="Times New Roman"/>
                <w:color w:val="000000"/>
              </w:rPr>
            </w:pPr>
          </w:p>
          <w:p w14:paraId="4C73DE62" w14:textId="77777777" w:rsidR="00C86E37" w:rsidRPr="002269DF" w:rsidRDefault="00C86E37" w:rsidP="00495D6D">
            <w:pPr>
              <w:spacing w:line="240" w:lineRule="auto"/>
              <w:jc w:val="both"/>
              <w:rPr>
                <w:rFonts w:ascii="Times New Roman" w:hAnsi="Times New Roman"/>
                <w:color w:val="000000"/>
              </w:rPr>
            </w:pPr>
          </w:p>
        </w:tc>
        <w:tc>
          <w:tcPr>
            <w:tcW w:w="5244" w:type="dxa"/>
            <w:gridSpan w:val="16"/>
            <w:shd w:val="clear" w:color="auto" w:fill="auto"/>
          </w:tcPr>
          <w:p w14:paraId="14273E21" w14:textId="77777777" w:rsidR="00C86E37" w:rsidRPr="002269DF" w:rsidRDefault="00C86E37"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t>Nie jest możliwe podan</w:t>
            </w:r>
            <w:r w:rsidR="00276FD7" w:rsidRPr="002269DF">
              <w:rPr>
                <w:rFonts w:ascii="Times New Roman" w:hAnsi="Times New Roman"/>
                <w:color w:val="000000"/>
                <w:spacing w:val="-2"/>
              </w:rPr>
              <w:t>i</w:t>
            </w:r>
            <w:r w:rsidRPr="002269DF">
              <w:rPr>
                <w:rFonts w:ascii="Times New Roman" w:hAnsi="Times New Roman"/>
                <w:color w:val="000000"/>
                <w:spacing w:val="-2"/>
              </w:rPr>
              <w:t xml:space="preserve">e </w:t>
            </w:r>
            <w:r w:rsidR="00276FD7" w:rsidRPr="002269DF">
              <w:rPr>
                <w:rFonts w:ascii="Times New Roman" w:hAnsi="Times New Roman"/>
                <w:color w:val="000000"/>
                <w:spacing w:val="-2"/>
              </w:rPr>
              <w:t>konkretnej wielkości</w:t>
            </w:r>
          </w:p>
        </w:tc>
        <w:tc>
          <w:tcPr>
            <w:tcW w:w="1701" w:type="dxa"/>
            <w:gridSpan w:val="7"/>
            <w:shd w:val="clear" w:color="auto" w:fill="auto"/>
          </w:tcPr>
          <w:p w14:paraId="40873A60" w14:textId="77777777" w:rsidR="00C86E37" w:rsidRPr="002269DF" w:rsidRDefault="00C86E37" w:rsidP="00495D6D">
            <w:pPr>
              <w:spacing w:line="240" w:lineRule="auto"/>
              <w:jc w:val="both"/>
              <w:rPr>
                <w:rFonts w:ascii="Times New Roman" w:hAnsi="Times New Roman"/>
                <w:color w:val="000000"/>
                <w:spacing w:val="-2"/>
              </w:rPr>
            </w:pPr>
          </w:p>
        </w:tc>
        <w:tc>
          <w:tcPr>
            <w:tcW w:w="2148" w:type="dxa"/>
            <w:gridSpan w:val="4"/>
            <w:shd w:val="clear" w:color="auto" w:fill="auto"/>
          </w:tcPr>
          <w:p w14:paraId="1ED74C2B" w14:textId="2B300748" w:rsidR="00C86E37" w:rsidRPr="002269DF" w:rsidRDefault="00C86E37" w:rsidP="00495D6D">
            <w:pPr>
              <w:spacing w:line="240" w:lineRule="auto"/>
              <w:rPr>
                <w:rFonts w:ascii="Times New Roman" w:hAnsi="Times New Roman"/>
              </w:rPr>
            </w:pPr>
            <w:r w:rsidRPr="002269DF">
              <w:rPr>
                <w:rFonts w:ascii="Times New Roman" w:hAnsi="Times New Roman"/>
              </w:rPr>
              <w:t>Podmioty, na które będą oddziaływać interpretacje ogólne oraz wezwania wydawane na</w:t>
            </w:r>
            <w:r w:rsidR="009060D1">
              <w:rPr>
                <w:rFonts w:ascii="Times New Roman" w:hAnsi="Times New Roman"/>
              </w:rPr>
              <w:t> </w:t>
            </w:r>
            <w:r w:rsidRPr="002269DF">
              <w:rPr>
                <w:rFonts w:ascii="Times New Roman" w:hAnsi="Times New Roman"/>
              </w:rPr>
              <w:t>podstawie ustawy – Ordynacja podatkowa.</w:t>
            </w:r>
          </w:p>
          <w:p w14:paraId="4491D88D" w14:textId="77777777" w:rsidR="00276FD7" w:rsidRPr="002269DF" w:rsidRDefault="00276FD7" w:rsidP="00495D6D">
            <w:pPr>
              <w:spacing w:line="240" w:lineRule="auto"/>
              <w:rPr>
                <w:rFonts w:ascii="Times New Roman" w:hAnsi="Times New Roman"/>
                <w:spacing w:val="-2"/>
              </w:rPr>
            </w:pPr>
            <w:r w:rsidRPr="002269DF">
              <w:rPr>
                <w:rFonts w:ascii="Times New Roman" w:hAnsi="Times New Roman"/>
              </w:rPr>
              <w:t xml:space="preserve">Skutkiem wprowadzenia regulacji dotyczącej obowiązku wydawania interpretacji ogólnej w przypadku gdy zostanie wydana interpretacja indywidualna uwzględniająca wyrok NSA będzie zwiększenie pewności sytuacji podatkowej podatników. </w:t>
            </w:r>
          </w:p>
        </w:tc>
      </w:tr>
      <w:tr w:rsidR="00834C8C" w:rsidRPr="002269DF" w14:paraId="5A9BF5B4" w14:textId="77777777" w:rsidTr="00834C8C">
        <w:trPr>
          <w:gridAfter w:val="1"/>
          <w:wAfter w:w="10" w:type="dxa"/>
          <w:trHeight w:val="1834"/>
        </w:trPr>
        <w:tc>
          <w:tcPr>
            <w:tcW w:w="1844" w:type="dxa"/>
            <w:gridSpan w:val="2"/>
            <w:shd w:val="clear" w:color="auto" w:fill="auto"/>
          </w:tcPr>
          <w:p w14:paraId="2A931648" w14:textId="77777777" w:rsidR="00834C8C" w:rsidRPr="002269DF" w:rsidRDefault="00834C8C" w:rsidP="00852DFF">
            <w:pPr>
              <w:spacing w:line="240" w:lineRule="auto"/>
              <w:rPr>
                <w:rFonts w:ascii="Times New Roman" w:hAnsi="Times New Roman"/>
                <w:color w:val="000000"/>
                <w:lang w:eastAsia="pl-PL"/>
              </w:rPr>
            </w:pPr>
            <w:r w:rsidRPr="002269DF">
              <w:rPr>
                <w:rFonts w:ascii="Times New Roman" w:hAnsi="Times New Roman"/>
                <w:color w:val="000000"/>
                <w:lang w:eastAsia="pl-PL"/>
              </w:rPr>
              <w:t>Przedsiębiorcy, którzy uczestniczą w</w:t>
            </w:r>
            <w:r w:rsidR="00852DFF" w:rsidRPr="002269DF">
              <w:rPr>
                <w:rFonts w:ascii="Times New Roman" w:hAnsi="Times New Roman"/>
                <w:color w:val="000000"/>
                <w:lang w:eastAsia="pl-PL"/>
              </w:rPr>
              <w:t xml:space="preserve"> </w:t>
            </w:r>
            <w:r w:rsidRPr="002269DF">
              <w:rPr>
                <w:rFonts w:ascii="Times New Roman" w:hAnsi="Times New Roman"/>
                <w:color w:val="000000"/>
                <w:lang w:eastAsia="pl-PL"/>
              </w:rPr>
              <w:t>postępowaniach administracyjnych</w:t>
            </w:r>
            <w:r w:rsidR="00664D1C" w:rsidRPr="002269DF">
              <w:rPr>
                <w:rFonts w:ascii="Times New Roman" w:hAnsi="Times New Roman"/>
                <w:color w:val="000000"/>
                <w:lang w:eastAsia="pl-PL"/>
              </w:rPr>
              <w:t xml:space="preserve"> </w:t>
            </w:r>
            <w:r w:rsidR="00CA20AD" w:rsidRPr="002269DF">
              <w:rPr>
                <w:rFonts w:ascii="Times New Roman" w:hAnsi="Times New Roman"/>
                <w:color w:val="000000"/>
                <w:lang w:eastAsia="pl-PL"/>
              </w:rPr>
              <w:t>na podstawie</w:t>
            </w:r>
            <w:r w:rsidR="00664D1C" w:rsidRPr="002269DF">
              <w:rPr>
                <w:rFonts w:ascii="Times New Roman" w:hAnsi="Times New Roman"/>
                <w:color w:val="000000"/>
                <w:lang w:eastAsia="pl-PL"/>
              </w:rPr>
              <w:t xml:space="preserve"> ustawy </w:t>
            </w:r>
            <w:r w:rsidR="00664D1C" w:rsidRPr="002269DF">
              <w:rPr>
                <w:rFonts w:ascii="Times New Roman" w:hAnsi="Times New Roman"/>
                <w:i/>
                <w:color w:val="000000"/>
                <w:lang w:eastAsia="pl-PL"/>
              </w:rPr>
              <w:t xml:space="preserve">o </w:t>
            </w:r>
            <w:r w:rsidR="00CA20AD" w:rsidRPr="002269DF">
              <w:rPr>
                <w:rFonts w:ascii="Times New Roman" w:hAnsi="Times New Roman"/>
                <w:i/>
                <w:color w:val="000000"/>
                <w:lang w:eastAsia="pl-PL"/>
              </w:rPr>
              <w:t xml:space="preserve">administrowaniu </w:t>
            </w:r>
            <w:r w:rsidR="00CA20AD" w:rsidRPr="002269DF">
              <w:rPr>
                <w:rFonts w:ascii="Times New Roman" w:hAnsi="Times New Roman"/>
                <w:i/>
                <w:color w:val="000000"/>
                <w:lang w:eastAsia="pl-PL"/>
              </w:rPr>
              <w:lastRenderedPageBreak/>
              <w:t xml:space="preserve">obrotem towarowym z zagranicą </w:t>
            </w:r>
            <w:r w:rsidR="00CA20AD" w:rsidRPr="002269DF">
              <w:rPr>
                <w:rFonts w:ascii="Times New Roman" w:hAnsi="Times New Roman"/>
                <w:color w:val="000000"/>
                <w:lang w:eastAsia="pl-PL"/>
              </w:rPr>
              <w:t xml:space="preserve">prowadzonych </w:t>
            </w:r>
            <w:r w:rsidRPr="002269DF">
              <w:rPr>
                <w:rFonts w:ascii="Times New Roman" w:hAnsi="Times New Roman"/>
                <w:color w:val="000000"/>
                <w:lang w:eastAsia="pl-PL"/>
              </w:rPr>
              <w:t>przez Ministerstwo Rozwoju</w:t>
            </w:r>
          </w:p>
          <w:p w14:paraId="67CA988D" w14:textId="77777777" w:rsidR="00874551" w:rsidRPr="002269DF" w:rsidRDefault="00874551" w:rsidP="00495D6D">
            <w:pPr>
              <w:spacing w:line="240" w:lineRule="auto"/>
              <w:jc w:val="both"/>
              <w:rPr>
                <w:rFonts w:ascii="Times New Roman" w:hAnsi="Times New Roman"/>
                <w:color w:val="000000"/>
                <w:lang w:eastAsia="pl-PL"/>
              </w:rPr>
            </w:pPr>
          </w:p>
          <w:p w14:paraId="624B559A" w14:textId="77777777" w:rsidR="00874551" w:rsidRPr="002269DF" w:rsidRDefault="00874551" w:rsidP="00495D6D">
            <w:pPr>
              <w:spacing w:line="240" w:lineRule="auto"/>
              <w:jc w:val="both"/>
              <w:rPr>
                <w:rFonts w:ascii="Times New Roman" w:hAnsi="Times New Roman"/>
                <w:color w:val="000000"/>
                <w:lang w:eastAsia="pl-PL"/>
              </w:rPr>
            </w:pPr>
          </w:p>
          <w:p w14:paraId="7F1FE2DD" w14:textId="77777777" w:rsidR="00874551" w:rsidRPr="002269DF" w:rsidRDefault="00874551" w:rsidP="00495D6D">
            <w:pPr>
              <w:spacing w:line="240" w:lineRule="auto"/>
              <w:jc w:val="both"/>
              <w:rPr>
                <w:rFonts w:ascii="Times New Roman" w:hAnsi="Times New Roman"/>
                <w:color w:val="000000"/>
                <w:lang w:eastAsia="pl-PL"/>
              </w:rPr>
            </w:pPr>
          </w:p>
          <w:p w14:paraId="054F2409" w14:textId="77777777" w:rsidR="00874551" w:rsidRPr="002269DF" w:rsidRDefault="00874551" w:rsidP="00495D6D">
            <w:pPr>
              <w:spacing w:line="240" w:lineRule="auto"/>
              <w:jc w:val="both"/>
              <w:rPr>
                <w:rFonts w:ascii="Times New Roman" w:hAnsi="Times New Roman"/>
                <w:color w:val="000000"/>
                <w:lang w:eastAsia="pl-PL"/>
              </w:rPr>
            </w:pPr>
          </w:p>
          <w:p w14:paraId="4826288A" w14:textId="77777777" w:rsidR="00874551" w:rsidRPr="002269DF" w:rsidRDefault="00874551" w:rsidP="00495D6D">
            <w:pPr>
              <w:spacing w:line="240" w:lineRule="auto"/>
              <w:jc w:val="both"/>
              <w:rPr>
                <w:rFonts w:ascii="Times New Roman" w:hAnsi="Times New Roman"/>
                <w:color w:val="000000"/>
                <w:lang w:eastAsia="pl-PL"/>
              </w:rPr>
            </w:pPr>
          </w:p>
          <w:p w14:paraId="7AEE039B" w14:textId="77777777" w:rsidR="00874551" w:rsidRPr="002269DF" w:rsidRDefault="00874551" w:rsidP="00495D6D">
            <w:pPr>
              <w:spacing w:line="240" w:lineRule="auto"/>
              <w:jc w:val="both"/>
              <w:rPr>
                <w:rFonts w:ascii="Times New Roman" w:hAnsi="Times New Roman"/>
                <w:color w:val="000000"/>
                <w:lang w:eastAsia="pl-PL"/>
              </w:rPr>
            </w:pPr>
          </w:p>
          <w:p w14:paraId="180D4A78" w14:textId="77777777" w:rsidR="003B6520" w:rsidRPr="002269DF" w:rsidRDefault="003B6520" w:rsidP="00495D6D">
            <w:pPr>
              <w:spacing w:line="240" w:lineRule="auto"/>
              <w:jc w:val="both"/>
              <w:rPr>
                <w:rFonts w:ascii="Times New Roman" w:hAnsi="Times New Roman"/>
                <w:color w:val="000000"/>
              </w:rPr>
            </w:pPr>
          </w:p>
          <w:p w14:paraId="50EEAC7E" w14:textId="77777777" w:rsidR="003B6520" w:rsidRPr="002269DF" w:rsidRDefault="003B6520" w:rsidP="00495D6D">
            <w:pPr>
              <w:spacing w:line="240" w:lineRule="auto"/>
              <w:jc w:val="both"/>
              <w:rPr>
                <w:rFonts w:ascii="Times New Roman" w:hAnsi="Times New Roman"/>
                <w:color w:val="000000"/>
              </w:rPr>
            </w:pPr>
          </w:p>
          <w:p w14:paraId="6F5C41E0" w14:textId="77777777" w:rsidR="003B6520" w:rsidRPr="002269DF" w:rsidRDefault="003B6520" w:rsidP="00495D6D">
            <w:pPr>
              <w:spacing w:line="240" w:lineRule="auto"/>
              <w:jc w:val="both"/>
              <w:rPr>
                <w:rFonts w:ascii="Times New Roman" w:hAnsi="Times New Roman"/>
                <w:color w:val="000000"/>
              </w:rPr>
            </w:pPr>
          </w:p>
          <w:p w14:paraId="415821FD" w14:textId="77777777" w:rsidR="003B6520" w:rsidRPr="002269DF" w:rsidRDefault="003B6520" w:rsidP="00495D6D">
            <w:pPr>
              <w:spacing w:line="240" w:lineRule="auto"/>
              <w:jc w:val="both"/>
              <w:rPr>
                <w:rFonts w:ascii="Times New Roman" w:hAnsi="Times New Roman"/>
                <w:color w:val="000000"/>
              </w:rPr>
            </w:pPr>
          </w:p>
          <w:p w14:paraId="6D1CCB3D" w14:textId="77777777" w:rsidR="00874551" w:rsidRPr="002269DF" w:rsidRDefault="00874551" w:rsidP="00495D6D">
            <w:pPr>
              <w:spacing w:line="240" w:lineRule="auto"/>
              <w:jc w:val="both"/>
              <w:rPr>
                <w:rFonts w:ascii="Times New Roman" w:hAnsi="Times New Roman"/>
                <w:color w:val="000000"/>
              </w:rPr>
            </w:pPr>
          </w:p>
          <w:p w14:paraId="04ADC552" w14:textId="77777777" w:rsidR="004F04B8" w:rsidRPr="002269DF" w:rsidRDefault="004F04B8" w:rsidP="00495D6D">
            <w:pPr>
              <w:spacing w:line="240" w:lineRule="auto"/>
              <w:jc w:val="both"/>
              <w:rPr>
                <w:rFonts w:ascii="Times New Roman" w:hAnsi="Times New Roman"/>
                <w:color w:val="000000"/>
              </w:rPr>
            </w:pPr>
          </w:p>
          <w:p w14:paraId="19778C78" w14:textId="77777777" w:rsidR="004F04B8" w:rsidRPr="002269DF" w:rsidRDefault="004F04B8" w:rsidP="00495D6D">
            <w:pPr>
              <w:spacing w:line="240" w:lineRule="auto"/>
              <w:jc w:val="both"/>
              <w:rPr>
                <w:rFonts w:ascii="Times New Roman" w:hAnsi="Times New Roman"/>
                <w:color w:val="000000"/>
              </w:rPr>
            </w:pPr>
          </w:p>
          <w:p w14:paraId="1A549B7B" w14:textId="77777777" w:rsidR="004F04B8" w:rsidRPr="002269DF" w:rsidRDefault="00495D6D" w:rsidP="00852DFF">
            <w:pPr>
              <w:spacing w:line="240" w:lineRule="auto"/>
              <w:rPr>
                <w:rFonts w:ascii="Times New Roman" w:hAnsi="Times New Roman"/>
                <w:color w:val="000000"/>
              </w:rPr>
            </w:pPr>
            <w:r w:rsidRPr="002269DF">
              <w:rPr>
                <w:rFonts w:ascii="Times New Roman" w:hAnsi="Times New Roman"/>
                <w:color w:val="000000"/>
              </w:rPr>
              <w:t>Jednostki małe w</w:t>
            </w:r>
            <w:r w:rsidR="00852DFF" w:rsidRPr="002269DF">
              <w:rPr>
                <w:rFonts w:ascii="Times New Roman" w:hAnsi="Times New Roman"/>
                <w:color w:val="000000"/>
              </w:rPr>
              <w:t> </w:t>
            </w:r>
            <w:r w:rsidRPr="002269DF">
              <w:rPr>
                <w:rFonts w:ascii="Times New Roman" w:hAnsi="Times New Roman"/>
                <w:color w:val="000000"/>
              </w:rPr>
              <w:t>rozumieniu ustawy o</w:t>
            </w:r>
            <w:r w:rsidR="00852DFF" w:rsidRPr="002269DF">
              <w:rPr>
                <w:rFonts w:ascii="Times New Roman" w:hAnsi="Times New Roman"/>
                <w:color w:val="000000"/>
              </w:rPr>
              <w:t> </w:t>
            </w:r>
            <w:r w:rsidRPr="002269DF">
              <w:rPr>
                <w:rFonts w:ascii="Times New Roman" w:hAnsi="Times New Roman"/>
                <w:color w:val="000000"/>
              </w:rPr>
              <w:t>rachunkowości</w:t>
            </w:r>
          </w:p>
          <w:p w14:paraId="3ADD86E4" w14:textId="77777777" w:rsidR="004F04B8" w:rsidRPr="002269DF" w:rsidRDefault="004F04B8" w:rsidP="00852DFF">
            <w:pPr>
              <w:spacing w:line="240" w:lineRule="auto"/>
              <w:rPr>
                <w:rFonts w:ascii="Times New Roman" w:hAnsi="Times New Roman"/>
                <w:color w:val="000000"/>
              </w:rPr>
            </w:pPr>
          </w:p>
          <w:p w14:paraId="5F8C9E0F" w14:textId="77777777" w:rsidR="004F04B8" w:rsidRPr="002269DF" w:rsidRDefault="004F04B8" w:rsidP="00852DFF">
            <w:pPr>
              <w:spacing w:line="240" w:lineRule="auto"/>
              <w:rPr>
                <w:rFonts w:ascii="Times New Roman" w:hAnsi="Times New Roman"/>
                <w:color w:val="000000"/>
              </w:rPr>
            </w:pPr>
          </w:p>
          <w:p w14:paraId="30989F5C" w14:textId="77777777" w:rsidR="004F04B8" w:rsidRPr="002269DF" w:rsidRDefault="004F04B8" w:rsidP="00852DFF">
            <w:pPr>
              <w:spacing w:line="240" w:lineRule="auto"/>
              <w:rPr>
                <w:rFonts w:ascii="Times New Roman" w:hAnsi="Times New Roman"/>
                <w:color w:val="000000"/>
              </w:rPr>
            </w:pPr>
          </w:p>
          <w:p w14:paraId="6A265433" w14:textId="77777777" w:rsidR="004F04B8" w:rsidRPr="002269DF" w:rsidRDefault="004F04B8" w:rsidP="00852DFF">
            <w:pPr>
              <w:spacing w:line="240" w:lineRule="auto"/>
              <w:rPr>
                <w:rFonts w:ascii="Times New Roman" w:hAnsi="Times New Roman"/>
                <w:color w:val="000000"/>
              </w:rPr>
            </w:pPr>
          </w:p>
          <w:p w14:paraId="5B79292E" w14:textId="77777777" w:rsidR="00495D6D" w:rsidRPr="002269DF" w:rsidRDefault="00495D6D" w:rsidP="00852DFF">
            <w:pPr>
              <w:spacing w:line="240" w:lineRule="auto"/>
              <w:rPr>
                <w:rFonts w:ascii="Times New Roman" w:hAnsi="Times New Roman"/>
                <w:color w:val="000000"/>
              </w:rPr>
            </w:pPr>
            <w:r w:rsidRPr="002269DF">
              <w:rPr>
                <w:rFonts w:ascii="Times New Roman" w:hAnsi="Times New Roman"/>
                <w:color w:val="000000"/>
              </w:rPr>
              <w:t>Jednostki spełniające</w:t>
            </w:r>
          </w:p>
          <w:p w14:paraId="522D9ED4" w14:textId="77777777" w:rsidR="00495D6D" w:rsidRPr="002269DF" w:rsidRDefault="00495D6D" w:rsidP="00852DFF">
            <w:pPr>
              <w:spacing w:line="240" w:lineRule="auto"/>
              <w:rPr>
                <w:rFonts w:ascii="Times New Roman" w:hAnsi="Times New Roman"/>
                <w:color w:val="000000"/>
              </w:rPr>
            </w:pPr>
            <w:r w:rsidRPr="002269DF">
              <w:rPr>
                <w:rFonts w:ascii="Times New Roman" w:hAnsi="Times New Roman"/>
                <w:color w:val="000000"/>
              </w:rPr>
              <w:t>progi wartościowe dla</w:t>
            </w:r>
          </w:p>
          <w:p w14:paraId="3B33120B" w14:textId="77777777" w:rsidR="00495D6D" w:rsidRPr="002269DF" w:rsidRDefault="00495D6D" w:rsidP="00852DFF">
            <w:pPr>
              <w:spacing w:line="240" w:lineRule="auto"/>
              <w:rPr>
                <w:rFonts w:ascii="Times New Roman" w:hAnsi="Times New Roman"/>
                <w:color w:val="000000"/>
              </w:rPr>
            </w:pPr>
            <w:r w:rsidRPr="002269DF">
              <w:rPr>
                <w:rFonts w:ascii="Times New Roman" w:hAnsi="Times New Roman"/>
                <w:color w:val="000000"/>
              </w:rPr>
              <w:t>jednostek małych w rozumieniu ustawy o</w:t>
            </w:r>
            <w:r w:rsidR="00852DFF" w:rsidRPr="002269DF">
              <w:rPr>
                <w:rFonts w:ascii="Times New Roman" w:hAnsi="Times New Roman"/>
                <w:color w:val="000000"/>
              </w:rPr>
              <w:t> </w:t>
            </w:r>
            <w:r w:rsidRPr="002269DF">
              <w:rPr>
                <w:rFonts w:ascii="Times New Roman" w:hAnsi="Times New Roman"/>
                <w:color w:val="000000"/>
              </w:rPr>
              <w:t>rachunkowości.</w:t>
            </w:r>
          </w:p>
          <w:p w14:paraId="31480078" w14:textId="77777777" w:rsidR="004F04B8" w:rsidRPr="002269DF" w:rsidRDefault="004F04B8" w:rsidP="00852DFF">
            <w:pPr>
              <w:spacing w:line="240" w:lineRule="auto"/>
              <w:rPr>
                <w:rFonts w:ascii="Times New Roman" w:hAnsi="Times New Roman"/>
                <w:color w:val="000000"/>
              </w:rPr>
            </w:pPr>
          </w:p>
          <w:p w14:paraId="3246D895" w14:textId="77777777" w:rsidR="004F04B8" w:rsidRPr="002269DF" w:rsidRDefault="004F04B8" w:rsidP="00852DFF">
            <w:pPr>
              <w:spacing w:line="240" w:lineRule="auto"/>
              <w:rPr>
                <w:rFonts w:ascii="Times New Roman" w:hAnsi="Times New Roman"/>
                <w:color w:val="000000"/>
              </w:rPr>
            </w:pPr>
          </w:p>
          <w:p w14:paraId="62EF8F90" w14:textId="77777777" w:rsidR="004F04B8" w:rsidRPr="002269DF" w:rsidRDefault="004F04B8" w:rsidP="00852DFF">
            <w:pPr>
              <w:spacing w:line="240" w:lineRule="auto"/>
              <w:rPr>
                <w:rFonts w:ascii="Times New Roman" w:hAnsi="Times New Roman"/>
                <w:color w:val="000000"/>
              </w:rPr>
            </w:pPr>
          </w:p>
          <w:p w14:paraId="1B637370" w14:textId="77777777" w:rsidR="004F04B8" w:rsidRPr="002269DF" w:rsidRDefault="004F04B8" w:rsidP="00852DFF">
            <w:pPr>
              <w:spacing w:line="240" w:lineRule="auto"/>
              <w:rPr>
                <w:rFonts w:ascii="Times New Roman" w:hAnsi="Times New Roman"/>
                <w:color w:val="000000"/>
              </w:rPr>
            </w:pPr>
          </w:p>
          <w:p w14:paraId="51504749" w14:textId="77777777" w:rsidR="004F04B8" w:rsidRPr="002269DF" w:rsidRDefault="004F04B8" w:rsidP="00852DFF">
            <w:pPr>
              <w:spacing w:line="240" w:lineRule="auto"/>
              <w:rPr>
                <w:rFonts w:ascii="Times New Roman" w:hAnsi="Times New Roman"/>
                <w:color w:val="000000"/>
              </w:rPr>
            </w:pPr>
          </w:p>
          <w:p w14:paraId="0FCB8CD2" w14:textId="77777777" w:rsidR="004F04B8" w:rsidRPr="002269DF" w:rsidRDefault="004F04B8" w:rsidP="00852DFF">
            <w:pPr>
              <w:spacing w:line="240" w:lineRule="auto"/>
              <w:rPr>
                <w:rFonts w:ascii="Times New Roman" w:hAnsi="Times New Roman"/>
                <w:color w:val="000000"/>
              </w:rPr>
            </w:pPr>
          </w:p>
          <w:p w14:paraId="0EE60AD7" w14:textId="77777777" w:rsidR="004F04B8" w:rsidRPr="002269DF" w:rsidRDefault="004F04B8" w:rsidP="00852DFF">
            <w:pPr>
              <w:spacing w:line="240" w:lineRule="auto"/>
              <w:rPr>
                <w:rFonts w:ascii="Times New Roman" w:hAnsi="Times New Roman"/>
                <w:color w:val="000000"/>
              </w:rPr>
            </w:pPr>
          </w:p>
          <w:p w14:paraId="2A3A9693" w14:textId="77777777" w:rsidR="004F04B8" w:rsidRPr="002269DF" w:rsidRDefault="004F04B8" w:rsidP="00852DFF">
            <w:pPr>
              <w:spacing w:line="240" w:lineRule="auto"/>
              <w:rPr>
                <w:rFonts w:ascii="Times New Roman" w:hAnsi="Times New Roman"/>
                <w:color w:val="000000"/>
              </w:rPr>
            </w:pPr>
          </w:p>
          <w:p w14:paraId="24AF4F49" w14:textId="77777777" w:rsidR="004F04B8" w:rsidRPr="002269DF" w:rsidRDefault="004F04B8" w:rsidP="00852DFF">
            <w:pPr>
              <w:spacing w:line="240" w:lineRule="auto"/>
              <w:rPr>
                <w:rFonts w:ascii="Times New Roman" w:hAnsi="Times New Roman"/>
                <w:color w:val="000000"/>
              </w:rPr>
            </w:pPr>
          </w:p>
          <w:p w14:paraId="74815ABD" w14:textId="77777777" w:rsidR="004F04B8" w:rsidRPr="002269DF" w:rsidRDefault="004F04B8" w:rsidP="00852DFF">
            <w:pPr>
              <w:spacing w:line="240" w:lineRule="auto"/>
              <w:rPr>
                <w:rFonts w:ascii="Times New Roman" w:hAnsi="Times New Roman"/>
                <w:color w:val="000000"/>
              </w:rPr>
            </w:pPr>
          </w:p>
          <w:p w14:paraId="2182FFD8" w14:textId="77777777" w:rsidR="004F04B8" w:rsidRPr="002269DF" w:rsidRDefault="004F04B8" w:rsidP="00852DFF">
            <w:pPr>
              <w:spacing w:line="240" w:lineRule="auto"/>
              <w:rPr>
                <w:rFonts w:ascii="Times New Roman" w:hAnsi="Times New Roman"/>
                <w:color w:val="000000"/>
              </w:rPr>
            </w:pPr>
          </w:p>
          <w:p w14:paraId="399DCC9F" w14:textId="77777777" w:rsidR="004F04B8" w:rsidRPr="002269DF" w:rsidRDefault="004F04B8" w:rsidP="00852DFF">
            <w:pPr>
              <w:spacing w:line="240" w:lineRule="auto"/>
              <w:rPr>
                <w:rFonts w:ascii="Times New Roman" w:hAnsi="Times New Roman"/>
                <w:color w:val="000000"/>
              </w:rPr>
            </w:pPr>
          </w:p>
          <w:p w14:paraId="75BFD0B7" w14:textId="77777777" w:rsidR="00852DFF" w:rsidRPr="002269DF" w:rsidRDefault="00852DFF" w:rsidP="00852DFF">
            <w:pPr>
              <w:spacing w:line="240" w:lineRule="auto"/>
              <w:rPr>
                <w:rFonts w:ascii="Times New Roman" w:hAnsi="Times New Roman"/>
                <w:color w:val="000000"/>
              </w:rPr>
            </w:pPr>
          </w:p>
          <w:p w14:paraId="5AB6FE54" w14:textId="77777777" w:rsidR="00495D6D" w:rsidRPr="002269DF" w:rsidRDefault="00495D6D" w:rsidP="00852DFF">
            <w:pPr>
              <w:spacing w:line="240" w:lineRule="auto"/>
              <w:rPr>
                <w:rFonts w:ascii="Times New Roman" w:hAnsi="Times New Roman"/>
                <w:color w:val="000000"/>
              </w:rPr>
            </w:pPr>
            <w:r w:rsidRPr="002269DF">
              <w:rPr>
                <w:rFonts w:ascii="Times New Roman" w:hAnsi="Times New Roman"/>
                <w:color w:val="000000"/>
              </w:rPr>
              <w:t>Jednostki mikro w</w:t>
            </w:r>
            <w:r w:rsidR="00852DFF" w:rsidRPr="002269DF">
              <w:rPr>
                <w:rFonts w:ascii="Times New Roman" w:hAnsi="Times New Roman"/>
                <w:color w:val="000000"/>
              </w:rPr>
              <w:t> </w:t>
            </w:r>
            <w:r w:rsidRPr="002269DF">
              <w:rPr>
                <w:rFonts w:ascii="Times New Roman" w:hAnsi="Times New Roman"/>
                <w:color w:val="000000"/>
              </w:rPr>
              <w:t>rozumieniu ustawy o</w:t>
            </w:r>
            <w:r w:rsidR="00852DFF" w:rsidRPr="002269DF">
              <w:rPr>
                <w:rFonts w:ascii="Times New Roman" w:hAnsi="Times New Roman"/>
                <w:color w:val="000000"/>
              </w:rPr>
              <w:t> </w:t>
            </w:r>
            <w:r w:rsidRPr="002269DF">
              <w:rPr>
                <w:rFonts w:ascii="Times New Roman" w:hAnsi="Times New Roman"/>
                <w:color w:val="000000"/>
              </w:rPr>
              <w:t>rachunkowości</w:t>
            </w:r>
          </w:p>
          <w:p w14:paraId="3947D47A" w14:textId="77777777" w:rsidR="00495D6D" w:rsidRPr="002269DF" w:rsidRDefault="00495D6D" w:rsidP="00852DFF">
            <w:pPr>
              <w:spacing w:line="240" w:lineRule="auto"/>
              <w:rPr>
                <w:rFonts w:ascii="Times New Roman" w:hAnsi="Times New Roman"/>
                <w:color w:val="000000"/>
              </w:rPr>
            </w:pPr>
            <w:r w:rsidRPr="002269DF">
              <w:rPr>
                <w:rFonts w:ascii="Times New Roman" w:hAnsi="Times New Roman"/>
                <w:color w:val="000000"/>
              </w:rPr>
              <w:t>prowadzone przez</w:t>
            </w:r>
          </w:p>
          <w:p w14:paraId="13AF1EBF" w14:textId="77777777" w:rsidR="00495D6D" w:rsidRPr="002269DF" w:rsidRDefault="00495D6D" w:rsidP="00852DFF">
            <w:pPr>
              <w:spacing w:line="240" w:lineRule="auto"/>
              <w:rPr>
                <w:rFonts w:ascii="Times New Roman" w:hAnsi="Times New Roman"/>
                <w:color w:val="000000"/>
              </w:rPr>
            </w:pPr>
            <w:r w:rsidRPr="002269DF">
              <w:rPr>
                <w:rFonts w:ascii="Times New Roman" w:hAnsi="Times New Roman"/>
                <w:color w:val="000000"/>
              </w:rPr>
              <w:t>osoby fizyczne.</w:t>
            </w:r>
          </w:p>
          <w:p w14:paraId="403B315F" w14:textId="77777777" w:rsidR="00495D6D" w:rsidRPr="002269DF" w:rsidRDefault="00495D6D" w:rsidP="00852DFF">
            <w:pPr>
              <w:spacing w:line="240" w:lineRule="auto"/>
              <w:rPr>
                <w:rFonts w:ascii="Times New Roman" w:hAnsi="Times New Roman"/>
                <w:color w:val="000000"/>
              </w:rPr>
            </w:pPr>
          </w:p>
          <w:p w14:paraId="39E1D4E4" w14:textId="77777777" w:rsidR="004F04B8" w:rsidRPr="002269DF" w:rsidRDefault="004F04B8" w:rsidP="00852DFF">
            <w:pPr>
              <w:spacing w:line="240" w:lineRule="auto"/>
              <w:rPr>
                <w:rFonts w:ascii="Times New Roman" w:hAnsi="Times New Roman"/>
                <w:color w:val="000000"/>
              </w:rPr>
            </w:pPr>
          </w:p>
          <w:p w14:paraId="27B0FE54" w14:textId="77777777" w:rsidR="004F04B8" w:rsidRPr="002269DF" w:rsidRDefault="004F04B8" w:rsidP="00852DFF">
            <w:pPr>
              <w:spacing w:line="240" w:lineRule="auto"/>
              <w:rPr>
                <w:rFonts w:ascii="Times New Roman" w:hAnsi="Times New Roman"/>
                <w:color w:val="000000"/>
              </w:rPr>
            </w:pPr>
          </w:p>
          <w:p w14:paraId="4C19ABA4" w14:textId="77777777" w:rsidR="00495D6D" w:rsidRPr="002269DF" w:rsidRDefault="00495D6D" w:rsidP="00852DFF">
            <w:pPr>
              <w:spacing w:line="240" w:lineRule="auto"/>
              <w:rPr>
                <w:rFonts w:ascii="Times New Roman" w:hAnsi="Times New Roman"/>
                <w:color w:val="000000"/>
              </w:rPr>
            </w:pPr>
            <w:r w:rsidRPr="002269DF">
              <w:rPr>
                <w:rFonts w:ascii="Times New Roman" w:hAnsi="Times New Roman"/>
                <w:color w:val="000000"/>
              </w:rPr>
              <w:t>Jednostki mikro, małe</w:t>
            </w:r>
          </w:p>
          <w:p w14:paraId="0FDA853A" w14:textId="77777777" w:rsidR="00495D6D" w:rsidRPr="002269DF" w:rsidRDefault="00495D6D" w:rsidP="00852DFF">
            <w:pPr>
              <w:spacing w:line="240" w:lineRule="auto"/>
              <w:rPr>
                <w:rFonts w:ascii="Times New Roman" w:hAnsi="Times New Roman"/>
                <w:color w:val="000000"/>
              </w:rPr>
            </w:pPr>
            <w:r w:rsidRPr="002269DF">
              <w:rPr>
                <w:rFonts w:ascii="Times New Roman" w:hAnsi="Times New Roman"/>
                <w:color w:val="000000"/>
              </w:rPr>
              <w:t xml:space="preserve">w rozumieniu </w:t>
            </w:r>
            <w:r w:rsidRPr="002269DF">
              <w:rPr>
                <w:rFonts w:ascii="Times New Roman" w:hAnsi="Times New Roman"/>
                <w:color w:val="000000"/>
              </w:rPr>
              <w:lastRenderedPageBreak/>
              <w:t>ustawy o</w:t>
            </w:r>
            <w:r w:rsidR="00852DFF" w:rsidRPr="002269DF">
              <w:rPr>
                <w:rFonts w:ascii="Times New Roman" w:hAnsi="Times New Roman"/>
                <w:color w:val="000000"/>
              </w:rPr>
              <w:t> </w:t>
            </w:r>
            <w:r w:rsidRPr="002269DF">
              <w:rPr>
                <w:rFonts w:ascii="Times New Roman" w:hAnsi="Times New Roman"/>
                <w:color w:val="000000"/>
              </w:rPr>
              <w:t>rachunkowości oraz określone organizacje</w:t>
            </w:r>
          </w:p>
          <w:p w14:paraId="4D35C2F5" w14:textId="77777777" w:rsidR="00495D6D" w:rsidRPr="002269DF" w:rsidRDefault="00495D6D" w:rsidP="00852DFF">
            <w:pPr>
              <w:spacing w:line="240" w:lineRule="auto"/>
              <w:rPr>
                <w:rFonts w:ascii="Times New Roman" w:hAnsi="Times New Roman"/>
                <w:color w:val="000000"/>
              </w:rPr>
            </w:pPr>
            <w:r w:rsidRPr="002269DF">
              <w:rPr>
                <w:rFonts w:ascii="Times New Roman" w:hAnsi="Times New Roman"/>
                <w:color w:val="000000"/>
              </w:rPr>
              <w:t>pozarządowe z</w:t>
            </w:r>
            <w:r w:rsidR="00852DFF" w:rsidRPr="002269DF">
              <w:rPr>
                <w:rFonts w:ascii="Times New Roman" w:hAnsi="Times New Roman"/>
                <w:color w:val="000000"/>
              </w:rPr>
              <w:t> </w:t>
            </w:r>
            <w:r w:rsidRPr="002269DF">
              <w:rPr>
                <w:rFonts w:ascii="Times New Roman" w:hAnsi="Times New Roman"/>
                <w:color w:val="000000"/>
              </w:rPr>
              <w:t xml:space="preserve">wyłączeniem spółek objętych dyrektywą </w:t>
            </w:r>
            <w:proofErr w:type="spellStart"/>
            <w:r w:rsidRPr="002269DF">
              <w:rPr>
                <w:rFonts w:ascii="Times New Roman" w:hAnsi="Times New Roman"/>
                <w:color w:val="000000"/>
              </w:rPr>
              <w:t>ws</w:t>
            </w:r>
            <w:proofErr w:type="spellEnd"/>
            <w:r w:rsidRPr="002269DF">
              <w:rPr>
                <w:rFonts w:ascii="Times New Roman" w:hAnsi="Times New Roman"/>
                <w:color w:val="000000"/>
              </w:rPr>
              <w:t>.</w:t>
            </w:r>
          </w:p>
          <w:p w14:paraId="22851662" w14:textId="77777777" w:rsidR="004F04B8" w:rsidRPr="002269DF" w:rsidRDefault="00495D6D" w:rsidP="00852DFF">
            <w:pPr>
              <w:spacing w:line="240" w:lineRule="auto"/>
              <w:rPr>
                <w:rFonts w:ascii="Times New Roman" w:hAnsi="Times New Roman"/>
                <w:color w:val="000000"/>
              </w:rPr>
            </w:pPr>
            <w:r w:rsidRPr="002269DF">
              <w:rPr>
                <w:rFonts w:ascii="Times New Roman" w:hAnsi="Times New Roman"/>
                <w:color w:val="000000"/>
              </w:rPr>
              <w:t>rachunkowości</w:t>
            </w:r>
          </w:p>
          <w:p w14:paraId="66B87E39" w14:textId="77777777" w:rsidR="004F04B8" w:rsidRPr="002269DF" w:rsidRDefault="004F04B8" w:rsidP="00852DFF">
            <w:pPr>
              <w:spacing w:line="240" w:lineRule="auto"/>
              <w:rPr>
                <w:rFonts w:ascii="Times New Roman" w:hAnsi="Times New Roman"/>
                <w:color w:val="000000"/>
              </w:rPr>
            </w:pPr>
          </w:p>
          <w:p w14:paraId="4ECF3BA1" w14:textId="77777777" w:rsidR="00495D6D" w:rsidRPr="002269DF" w:rsidRDefault="00495D6D" w:rsidP="00852DFF">
            <w:pPr>
              <w:spacing w:line="240" w:lineRule="auto"/>
              <w:rPr>
                <w:rFonts w:ascii="Times New Roman" w:hAnsi="Times New Roman"/>
                <w:color w:val="000000"/>
              </w:rPr>
            </w:pPr>
          </w:p>
          <w:p w14:paraId="7F2F710B" w14:textId="77777777" w:rsidR="00495D6D" w:rsidRPr="002269DF" w:rsidRDefault="00495D6D" w:rsidP="00852DFF">
            <w:pPr>
              <w:spacing w:line="240" w:lineRule="auto"/>
              <w:rPr>
                <w:rFonts w:ascii="Times New Roman" w:hAnsi="Times New Roman"/>
                <w:color w:val="000000"/>
              </w:rPr>
            </w:pPr>
          </w:p>
          <w:p w14:paraId="5A109FDE" w14:textId="77777777" w:rsidR="00495D6D" w:rsidRPr="002269DF" w:rsidRDefault="00495D6D" w:rsidP="00852DFF">
            <w:pPr>
              <w:spacing w:line="240" w:lineRule="auto"/>
              <w:rPr>
                <w:rFonts w:ascii="Times New Roman" w:hAnsi="Times New Roman"/>
                <w:color w:val="000000"/>
              </w:rPr>
            </w:pPr>
          </w:p>
          <w:p w14:paraId="4AD1DEA4" w14:textId="77777777" w:rsidR="00495D6D" w:rsidRPr="002269DF" w:rsidRDefault="00495D6D" w:rsidP="00852DFF">
            <w:pPr>
              <w:spacing w:line="240" w:lineRule="auto"/>
              <w:rPr>
                <w:rFonts w:ascii="Times New Roman" w:hAnsi="Times New Roman"/>
                <w:color w:val="000000"/>
              </w:rPr>
            </w:pPr>
          </w:p>
          <w:p w14:paraId="70570EFE" w14:textId="77777777" w:rsidR="004F04B8" w:rsidRPr="002269DF" w:rsidRDefault="004F04B8" w:rsidP="00852DFF">
            <w:pPr>
              <w:spacing w:line="240" w:lineRule="auto"/>
              <w:rPr>
                <w:rFonts w:ascii="Times New Roman" w:hAnsi="Times New Roman"/>
                <w:color w:val="000000"/>
              </w:rPr>
            </w:pPr>
            <w:r w:rsidRPr="002269DF">
              <w:rPr>
                <w:rFonts w:ascii="Times New Roman" w:hAnsi="Times New Roman"/>
                <w:color w:val="000000"/>
              </w:rPr>
              <w:t>Jednostki stosujące</w:t>
            </w:r>
          </w:p>
          <w:p w14:paraId="56E7292C" w14:textId="77777777" w:rsidR="004F04B8" w:rsidRPr="002269DF" w:rsidRDefault="004F04B8" w:rsidP="00852DFF">
            <w:pPr>
              <w:spacing w:line="240" w:lineRule="auto"/>
              <w:rPr>
                <w:rFonts w:ascii="Times New Roman" w:hAnsi="Times New Roman"/>
                <w:color w:val="000000"/>
              </w:rPr>
            </w:pPr>
            <w:r w:rsidRPr="002269DF">
              <w:rPr>
                <w:rFonts w:ascii="Times New Roman" w:hAnsi="Times New Roman"/>
                <w:color w:val="000000"/>
              </w:rPr>
              <w:t>przepisy ustawy o</w:t>
            </w:r>
            <w:r w:rsidR="00852DFF" w:rsidRPr="002269DF">
              <w:rPr>
                <w:rFonts w:ascii="Times New Roman" w:hAnsi="Times New Roman"/>
                <w:color w:val="000000"/>
              </w:rPr>
              <w:t> </w:t>
            </w:r>
            <w:r w:rsidRPr="002269DF">
              <w:rPr>
                <w:rFonts w:ascii="Times New Roman" w:hAnsi="Times New Roman"/>
                <w:color w:val="000000"/>
              </w:rPr>
              <w:t>rachunkowości</w:t>
            </w:r>
          </w:p>
        </w:tc>
        <w:tc>
          <w:tcPr>
            <w:tcW w:w="5244" w:type="dxa"/>
            <w:gridSpan w:val="16"/>
            <w:shd w:val="clear" w:color="auto" w:fill="auto"/>
          </w:tcPr>
          <w:p w14:paraId="7D236368" w14:textId="77777777" w:rsidR="00874551" w:rsidRPr="002269DF" w:rsidRDefault="00144E0F"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lastRenderedPageBreak/>
              <w:t xml:space="preserve">Ok. </w:t>
            </w:r>
            <w:r w:rsidR="003B6520" w:rsidRPr="002269DF">
              <w:rPr>
                <w:rFonts w:ascii="Times New Roman" w:hAnsi="Times New Roman"/>
                <w:color w:val="000000"/>
                <w:spacing w:val="-2"/>
              </w:rPr>
              <w:t>3</w:t>
            </w:r>
            <w:r w:rsidRPr="002269DF">
              <w:rPr>
                <w:rFonts w:ascii="Times New Roman" w:hAnsi="Times New Roman"/>
                <w:color w:val="000000"/>
                <w:spacing w:val="-2"/>
              </w:rPr>
              <w:t xml:space="preserve">50 podmiotów, którzy składają </w:t>
            </w:r>
            <w:r w:rsidR="00834C8C" w:rsidRPr="002269DF">
              <w:rPr>
                <w:rFonts w:ascii="Times New Roman" w:hAnsi="Times New Roman"/>
                <w:color w:val="000000"/>
                <w:spacing w:val="-2"/>
              </w:rPr>
              <w:t>1500-1700</w:t>
            </w:r>
            <w:r w:rsidRPr="002269DF">
              <w:rPr>
                <w:rFonts w:ascii="Times New Roman" w:hAnsi="Times New Roman"/>
                <w:color w:val="000000"/>
                <w:spacing w:val="-2"/>
              </w:rPr>
              <w:t xml:space="preserve"> wniosków</w:t>
            </w:r>
            <w:r w:rsidR="00834C8C" w:rsidRPr="002269DF">
              <w:rPr>
                <w:rFonts w:ascii="Times New Roman" w:hAnsi="Times New Roman"/>
                <w:color w:val="000000"/>
                <w:spacing w:val="-2"/>
              </w:rPr>
              <w:t xml:space="preserve"> w ciągu miesiąca</w:t>
            </w:r>
          </w:p>
          <w:p w14:paraId="51A99899" w14:textId="77777777" w:rsidR="00874551" w:rsidRPr="002269DF" w:rsidRDefault="00874551" w:rsidP="00495D6D">
            <w:pPr>
              <w:spacing w:line="240" w:lineRule="auto"/>
              <w:rPr>
                <w:rFonts w:ascii="Times New Roman" w:hAnsi="Times New Roman"/>
              </w:rPr>
            </w:pPr>
          </w:p>
          <w:p w14:paraId="724FFD52" w14:textId="77777777" w:rsidR="00874551" w:rsidRPr="002269DF" w:rsidRDefault="00874551" w:rsidP="00495D6D">
            <w:pPr>
              <w:spacing w:line="240" w:lineRule="auto"/>
              <w:rPr>
                <w:rFonts w:ascii="Times New Roman" w:hAnsi="Times New Roman"/>
              </w:rPr>
            </w:pPr>
          </w:p>
          <w:p w14:paraId="01B62788" w14:textId="77777777" w:rsidR="00874551" w:rsidRPr="002269DF" w:rsidRDefault="00874551" w:rsidP="00495D6D">
            <w:pPr>
              <w:spacing w:line="240" w:lineRule="auto"/>
              <w:rPr>
                <w:rFonts w:ascii="Times New Roman" w:hAnsi="Times New Roman"/>
              </w:rPr>
            </w:pPr>
          </w:p>
          <w:p w14:paraId="44173FE2" w14:textId="77777777" w:rsidR="00874551" w:rsidRPr="002269DF" w:rsidRDefault="00874551" w:rsidP="00495D6D">
            <w:pPr>
              <w:spacing w:line="240" w:lineRule="auto"/>
              <w:rPr>
                <w:rFonts w:ascii="Times New Roman" w:hAnsi="Times New Roman"/>
              </w:rPr>
            </w:pPr>
          </w:p>
          <w:p w14:paraId="4AFA92C7" w14:textId="77777777" w:rsidR="00874551" w:rsidRPr="002269DF" w:rsidRDefault="00874551" w:rsidP="00495D6D">
            <w:pPr>
              <w:spacing w:line="240" w:lineRule="auto"/>
              <w:rPr>
                <w:rFonts w:ascii="Times New Roman" w:hAnsi="Times New Roman"/>
              </w:rPr>
            </w:pPr>
          </w:p>
          <w:p w14:paraId="09DDA653" w14:textId="77777777" w:rsidR="00874551" w:rsidRPr="002269DF" w:rsidRDefault="00874551" w:rsidP="00495D6D">
            <w:pPr>
              <w:spacing w:line="240" w:lineRule="auto"/>
              <w:rPr>
                <w:rFonts w:ascii="Times New Roman" w:hAnsi="Times New Roman"/>
              </w:rPr>
            </w:pPr>
          </w:p>
          <w:p w14:paraId="17428350" w14:textId="77777777" w:rsidR="00874551" w:rsidRPr="002269DF" w:rsidRDefault="00874551" w:rsidP="00495D6D">
            <w:pPr>
              <w:spacing w:line="240" w:lineRule="auto"/>
              <w:rPr>
                <w:rFonts w:ascii="Times New Roman" w:hAnsi="Times New Roman"/>
              </w:rPr>
            </w:pPr>
          </w:p>
          <w:p w14:paraId="6DB460A3" w14:textId="77777777" w:rsidR="00874551" w:rsidRPr="002269DF" w:rsidRDefault="00874551" w:rsidP="00495D6D">
            <w:pPr>
              <w:spacing w:line="240" w:lineRule="auto"/>
              <w:rPr>
                <w:rFonts w:ascii="Times New Roman" w:hAnsi="Times New Roman"/>
              </w:rPr>
            </w:pPr>
          </w:p>
          <w:p w14:paraId="3BEC3F7B" w14:textId="77777777" w:rsidR="00874551" w:rsidRPr="002269DF" w:rsidRDefault="00874551" w:rsidP="00495D6D">
            <w:pPr>
              <w:spacing w:line="240" w:lineRule="auto"/>
              <w:rPr>
                <w:rFonts w:ascii="Times New Roman" w:hAnsi="Times New Roman"/>
              </w:rPr>
            </w:pPr>
          </w:p>
          <w:p w14:paraId="714C2BAB" w14:textId="77777777" w:rsidR="00874551" w:rsidRPr="002269DF" w:rsidRDefault="00874551" w:rsidP="00495D6D">
            <w:pPr>
              <w:spacing w:line="240" w:lineRule="auto"/>
              <w:rPr>
                <w:rFonts w:ascii="Times New Roman" w:hAnsi="Times New Roman"/>
              </w:rPr>
            </w:pPr>
          </w:p>
          <w:p w14:paraId="12344519" w14:textId="77777777" w:rsidR="00874551" w:rsidRPr="002269DF" w:rsidRDefault="00874551" w:rsidP="00495D6D">
            <w:pPr>
              <w:spacing w:line="240" w:lineRule="auto"/>
              <w:rPr>
                <w:rFonts w:ascii="Times New Roman" w:hAnsi="Times New Roman"/>
              </w:rPr>
            </w:pPr>
          </w:p>
          <w:p w14:paraId="7A4B7ADD" w14:textId="77777777" w:rsidR="00874551" w:rsidRPr="002269DF" w:rsidRDefault="00874551" w:rsidP="00495D6D">
            <w:pPr>
              <w:spacing w:line="240" w:lineRule="auto"/>
              <w:rPr>
                <w:rFonts w:ascii="Times New Roman" w:hAnsi="Times New Roman"/>
              </w:rPr>
            </w:pPr>
          </w:p>
          <w:p w14:paraId="3CB565A0" w14:textId="77777777" w:rsidR="00874551" w:rsidRPr="002269DF" w:rsidRDefault="00874551" w:rsidP="00495D6D">
            <w:pPr>
              <w:spacing w:line="240" w:lineRule="auto"/>
              <w:rPr>
                <w:rFonts w:ascii="Times New Roman" w:hAnsi="Times New Roman"/>
              </w:rPr>
            </w:pPr>
          </w:p>
          <w:p w14:paraId="16086FFD" w14:textId="77777777" w:rsidR="00874551" w:rsidRPr="002269DF" w:rsidRDefault="00874551" w:rsidP="00495D6D">
            <w:pPr>
              <w:spacing w:line="240" w:lineRule="auto"/>
              <w:rPr>
                <w:rFonts w:ascii="Times New Roman" w:hAnsi="Times New Roman"/>
              </w:rPr>
            </w:pPr>
          </w:p>
          <w:p w14:paraId="5CBCED9D" w14:textId="77777777" w:rsidR="00874551" w:rsidRPr="002269DF" w:rsidRDefault="00874551" w:rsidP="00495D6D">
            <w:pPr>
              <w:spacing w:line="240" w:lineRule="auto"/>
              <w:rPr>
                <w:rFonts w:ascii="Times New Roman" w:hAnsi="Times New Roman"/>
              </w:rPr>
            </w:pPr>
          </w:p>
          <w:p w14:paraId="56F47C6C" w14:textId="77777777" w:rsidR="00874551" w:rsidRPr="002269DF" w:rsidRDefault="00874551" w:rsidP="00495D6D">
            <w:pPr>
              <w:spacing w:line="240" w:lineRule="auto"/>
              <w:rPr>
                <w:rFonts w:ascii="Times New Roman" w:hAnsi="Times New Roman"/>
              </w:rPr>
            </w:pPr>
          </w:p>
          <w:p w14:paraId="7C5613A5" w14:textId="77777777" w:rsidR="00874551" w:rsidRPr="002269DF" w:rsidRDefault="00874551" w:rsidP="00495D6D">
            <w:pPr>
              <w:spacing w:line="240" w:lineRule="auto"/>
              <w:rPr>
                <w:rFonts w:ascii="Times New Roman" w:hAnsi="Times New Roman"/>
              </w:rPr>
            </w:pPr>
          </w:p>
          <w:p w14:paraId="0D3CAE09" w14:textId="77777777" w:rsidR="00874551" w:rsidRPr="002269DF" w:rsidRDefault="00874551" w:rsidP="00495D6D">
            <w:pPr>
              <w:spacing w:line="240" w:lineRule="auto"/>
              <w:rPr>
                <w:rFonts w:ascii="Times New Roman" w:hAnsi="Times New Roman"/>
              </w:rPr>
            </w:pPr>
          </w:p>
          <w:p w14:paraId="6BED43F1" w14:textId="77777777" w:rsidR="00874551" w:rsidRPr="002269DF" w:rsidRDefault="00874551" w:rsidP="00495D6D">
            <w:pPr>
              <w:spacing w:line="240" w:lineRule="auto"/>
              <w:rPr>
                <w:rFonts w:ascii="Times New Roman" w:hAnsi="Times New Roman"/>
              </w:rPr>
            </w:pPr>
          </w:p>
          <w:p w14:paraId="085468FE" w14:textId="77777777" w:rsidR="003B6520" w:rsidRPr="002269DF" w:rsidRDefault="003B6520" w:rsidP="00495D6D">
            <w:pPr>
              <w:spacing w:line="240" w:lineRule="auto"/>
              <w:rPr>
                <w:rFonts w:ascii="Times New Roman" w:hAnsi="Times New Roman"/>
              </w:rPr>
            </w:pPr>
          </w:p>
          <w:p w14:paraId="294C963E" w14:textId="77777777" w:rsidR="003B6520" w:rsidRPr="002269DF" w:rsidRDefault="003B6520" w:rsidP="00495D6D">
            <w:pPr>
              <w:spacing w:line="240" w:lineRule="auto"/>
              <w:rPr>
                <w:rFonts w:ascii="Times New Roman" w:hAnsi="Times New Roman"/>
              </w:rPr>
            </w:pPr>
          </w:p>
          <w:p w14:paraId="7A2C8450" w14:textId="77777777" w:rsidR="003B6520" w:rsidRPr="002269DF" w:rsidRDefault="003B6520" w:rsidP="00495D6D">
            <w:pPr>
              <w:spacing w:line="240" w:lineRule="auto"/>
              <w:rPr>
                <w:rFonts w:ascii="Times New Roman" w:hAnsi="Times New Roman"/>
              </w:rPr>
            </w:pPr>
          </w:p>
          <w:p w14:paraId="18DCEF52" w14:textId="77777777" w:rsidR="003B6520" w:rsidRPr="002269DF" w:rsidRDefault="003B6520" w:rsidP="00495D6D">
            <w:pPr>
              <w:spacing w:line="240" w:lineRule="auto"/>
              <w:rPr>
                <w:rFonts w:ascii="Times New Roman" w:hAnsi="Times New Roman"/>
              </w:rPr>
            </w:pPr>
          </w:p>
          <w:p w14:paraId="6ED5D2CF" w14:textId="77777777" w:rsidR="004F04B8" w:rsidRPr="002269DF" w:rsidRDefault="004F04B8" w:rsidP="00495D6D">
            <w:pPr>
              <w:spacing w:line="240" w:lineRule="auto"/>
              <w:rPr>
                <w:rFonts w:ascii="Times New Roman" w:hAnsi="Times New Roman"/>
              </w:rPr>
            </w:pPr>
          </w:p>
          <w:p w14:paraId="1C054DFB" w14:textId="77777777" w:rsidR="004F04B8" w:rsidRPr="002269DF" w:rsidRDefault="004F04B8" w:rsidP="00495D6D">
            <w:pPr>
              <w:spacing w:line="240" w:lineRule="auto"/>
              <w:rPr>
                <w:rFonts w:ascii="Times New Roman" w:hAnsi="Times New Roman"/>
              </w:rPr>
            </w:pPr>
          </w:p>
          <w:p w14:paraId="128D568D" w14:textId="77777777" w:rsidR="004F04B8" w:rsidRPr="002269DF" w:rsidRDefault="004F04B8" w:rsidP="00495D6D">
            <w:pPr>
              <w:spacing w:line="240" w:lineRule="auto"/>
              <w:rPr>
                <w:rFonts w:ascii="Times New Roman" w:hAnsi="Times New Roman"/>
              </w:rPr>
            </w:pPr>
          </w:p>
          <w:p w14:paraId="533E13D2" w14:textId="77777777" w:rsidR="004F04B8" w:rsidRPr="002269DF" w:rsidRDefault="00495D6D" w:rsidP="00495D6D">
            <w:pPr>
              <w:spacing w:line="240" w:lineRule="auto"/>
              <w:rPr>
                <w:rFonts w:ascii="Times New Roman" w:hAnsi="Times New Roman"/>
              </w:rPr>
            </w:pPr>
            <w:r w:rsidRPr="002269DF">
              <w:rPr>
                <w:rFonts w:ascii="Times New Roman" w:hAnsi="Times New Roman"/>
              </w:rPr>
              <w:t>3.254 jednostek małych</w:t>
            </w:r>
          </w:p>
          <w:p w14:paraId="0F8B4CC3" w14:textId="77777777" w:rsidR="004F04B8" w:rsidRPr="002269DF" w:rsidRDefault="004F04B8" w:rsidP="00495D6D">
            <w:pPr>
              <w:spacing w:line="240" w:lineRule="auto"/>
              <w:rPr>
                <w:rFonts w:ascii="Times New Roman" w:hAnsi="Times New Roman"/>
              </w:rPr>
            </w:pPr>
          </w:p>
          <w:p w14:paraId="6E0C96C6" w14:textId="77777777" w:rsidR="004F04B8" w:rsidRPr="002269DF" w:rsidRDefault="004F04B8" w:rsidP="00495D6D">
            <w:pPr>
              <w:spacing w:line="240" w:lineRule="auto"/>
              <w:rPr>
                <w:rFonts w:ascii="Times New Roman" w:hAnsi="Times New Roman"/>
              </w:rPr>
            </w:pPr>
          </w:p>
          <w:p w14:paraId="74012423" w14:textId="77777777" w:rsidR="004F04B8" w:rsidRPr="002269DF" w:rsidRDefault="004F04B8" w:rsidP="00495D6D">
            <w:pPr>
              <w:spacing w:line="240" w:lineRule="auto"/>
              <w:rPr>
                <w:rFonts w:ascii="Times New Roman" w:hAnsi="Times New Roman"/>
              </w:rPr>
            </w:pPr>
          </w:p>
          <w:p w14:paraId="6AD43671" w14:textId="77777777" w:rsidR="004F04B8" w:rsidRPr="002269DF" w:rsidRDefault="004F04B8" w:rsidP="00495D6D">
            <w:pPr>
              <w:spacing w:line="240" w:lineRule="auto"/>
              <w:rPr>
                <w:rFonts w:ascii="Times New Roman" w:hAnsi="Times New Roman"/>
              </w:rPr>
            </w:pPr>
          </w:p>
          <w:p w14:paraId="6A398442" w14:textId="77777777" w:rsidR="004F04B8" w:rsidRPr="002269DF" w:rsidRDefault="004F04B8" w:rsidP="00495D6D">
            <w:pPr>
              <w:spacing w:line="240" w:lineRule="auto"/>
              <w:rPr>
                <w:rFonts w:ascii="Times New Roman" w:hAnsi="Times New Roman"/>
              </w:rPr>
            </w:pPr>
          </w:p>
          <w:p w14:paraId="3B93D7E1" w14:textId="77777777" w:rsidR="00495D6D" w:rsidRPr="002269DF" w:rsidRDefault="00495D6D" w:rsidP="00495D6D">
            <w:pPr>
              <w:spacing w:line="240" w:lineRule="auto"/>
              <w:rPr>
                <w:rFonts w:ascii="Times New Roman" w:hAnsi="Times New Roman"/>
              </w:rPr>
            </w:pPr>
          </w:p>
          <w:p w14:paraId="31CDAEE7" w14:textId="77777777" w:rsidR="004F04B8" w:rsidRPr="002269DF" w:rsidRDefault="004F04B8" w:rsidP="00495D6D">
            <w:pPr>
              <w:spacing w:line="240" w:lineRule="auto"/>
              <w:rPr>
                <w:rFonts w:ascii="Times New Roman" w:hAnsi="Times New Roman"/>
              </w:rPr>
            </w:pPr>
          </w:p>
          <w:p w14:paraId="3ABB976E" w14:textId="77777777" w:rsidR="00495D6D" w:rsidRPr="002269DF" w:rsidRDefault="00495D6D" w:rsidP="00495D6D">
            <w:pPr>
              <w:spacing w:line="240" w:lineRule="auto"/>
              <w:rPr>
                <w:rFonts w:ascii="Times New Roman" w:hAnsi="Times New Roman"/>
              </w:rPr>
            </w:pPr>
            <w:r w:rsidRPr="002269DF">
              <w:rPr>
                <w:rFonts w:ascii="Times New Roman" w:hAnsi="Times New Roman"/>
              </w:rPr>
              <w:t>3.254 jednostek</w:t>
            </w:r>
          </w:p>
          <w:p w14:paraId="49AD23B0" w14:textId="77777777" w:rsidR="004F04B8" w:rsidRPr="002269DF" w:rsidRDefault="004F04B8" w:rsidP="00495D6D">
            <w:pPr>
              <w:spacing w:line="240" w:lineRule="auto"/>
              <w:rPr>
                <w:rFonts w:ascii="Times New Roman" w:hAnsi="Times New Roman"/>
              </w:rPr>
            </w:pPr>
          </w:p>
          <w:p w14:paraId="123EF0C8" w14:textId="77777777" w:rsidR="004F04B8" w:rsidRPr="002269DF" w:rsidRDefault="004F04B8" w:rsidP="00495D6D">
            <w:pPr>
              <w:spacing w:line="240" w:lineRule="auto"/>
              <w:rPr>
                <w:rFonts w:ascii="Times New Roman" w:hAnsi="Times New Roman"/>
              </w:rPr>
            </w:pPr>
          </w:p>
          <w:p w14:paraId="13A7D3F8" w14:textId="77777777" w:rsidR="004F04B8" w:rsidRPr="002269DF" w:rsidRDefault="004F04B8" w:rsidP="00495D6D">
            <w:pPr>
              <w:spacing w:line="240" w:lineRule="auto"/>
              <w:rPr>
                <w:rFonts w:ascii="Times New Roman" w:hAnsi="Times New Roman"/>
              </w:rPr>
            </w:pPr>
          </w:p>
          <w:p w14:paraId="287B841F" w14:textId="77777777" w:rsidR="004F04B8" w:rsidRPr="002269DF" w:rsidRDefault="004F04B8" w:rsidP="00495D6D">
            <w:pPr>
              <w:spacing w:line="240" w:lineRule="auto"/>
              <w:rPr>
                <w:rFonts w:ascii="Times New Roman" w:hAnsi="Times New Roman"/>
              </w:rPr>
            </w:pPr>
          </w:p>
          <w:p w14:paraId="2588677D" w14:textId="77777777" w:rsidR="004F04B8" w:rsidRPr="002269DF" w:rsidRDefault="004F04B8" w:rsidP="00495D6D">
            <w:pPr>
              <w:spacing w:line="240" w:lineRule="auto"/>
              <w:rPr>
                <w:rFonts w:ascii="Times New Roman" w:hAnsi="Times New Roman"/>
              </w:rPr>
            </w:pPr>
          </w:p>
          <w:p w14:paraId="7CF6F229" w14:textId="77777777" w:rsidR="004F04B8" w:rsidRPr="002269DF" w:rsidRDefault="004F04B8" w:rsidP="00495D6D">
            <w:pPr>
              <w:spacing w:line="240" w:lineRule="auto"/>
              <w:rPr>
                <w:rFonts w:ascii="Times New Roman" w:hAnsi="Times New Roman"/>
              </w:rPr>
            </w:pPr>
          </w:p>
          <w:p w14:paraId="28B5013D" w14:textId="77777777" w:rsidR="004F04B8" w:rsidRPr="002269DF" w:rsidRDefault="004F04B8" w:rsidP="00495D6D">
            <w:pPr>
              <w:spacing w:line="240" w:lineRule="auto"/>
              <w:rPr>
                <w:rFonts w:ascii="Times New Roman" w:hAnsi="Times New Roman"/>
              </w:rPr>
            </w:pPr>
          </w:p>
          <w:p w14:paraId="42FD3BD4" w14:textId="77777777" w:rsidR="004F04B8" w:rsidRPr="002269DF" w:rsidRDefault="004F04B8" w:rsidP="00495D6D">
            <w:pPr>
              <w:spacing w:line="240" w:lineRule="auto"/>
              <w:rPr>
                <w:rFonts w:ascii="Times New Roman" w:hAnsi="Times New Roman"/>
              </w:rPr>
            </w:pPr>
          </w:p>
          <w:p w14:paraId="07ED167A" w14:textId="77777777" w:rsidR="004F04B8" w:rsidRPr="002269DF" w:rsidRDefault="004F04B8" w:rsidP="00495D6D">
            <w:pPr>
              <w:spacing w:line="240" w:lineRule="auto"/>
              <w:rPr>
                <w:rFonts w:ascii="Times New Roman" w:hAnsi="Times New Roman"/>
              </w:rPr>
            </w:pPr>
          </w:p>
          <w:p w14:paraId="2D83ED5C" w14:textId="77777777" w:rsidR="004F04B8" w:rsidRPr="002269DF" w:rsidRDefault="004F04B8" w:rsidP="00495D6D">
            <w:pPr>
              <w:spacing w:line="240" w:lineRule="auto"/>
              <w:rPr>
                <w:rFonts w:ascii="Times New Roman" w:hAnsi="Times New Roman"/>
              </w:rPr>
            </w:pPr>
          </w:p>
          <w:p w14:paraId="3935AE40" w14:textId="77777777" w:rsidR="004F04B8" w:rsidRPr="002269DF" w:rsidRDefault="004F04B8" w:rsidP="00495D6D">
            <w:pPr>
              <w:spacing w:line="240" w:lineRule="auto"/>
              <w:rPr>
                <w:rFonts w:ascii="Times New Roman" w:hAnsi="Times New Roman"/>
              </w:rPr>
            </w:pPr>
          </w:p>
          <w:p w14:paraId="5B6AA032" w14:textId="77777777" w:rsidR="004F04B8" w:rsidRPr="002269DF" w:rsidRDefault="004F04B8" w:rsidP="00495D6D">
            <w:pPr>
              <w:spacing w:line="240" w:lineRule="auto"/>
              <w:rPr>
                <w:rFonts w:ascii="Times New Roman" w:hAnsi="Times New Roman"/>
              </w:rPr>
            </w:pPr>
          </w:p>
          <w:p w14:paraId="24907AED" w14:textId="77777777" w:rsidR="004F04B8" w:rsidRPr="002269DF" w:rsidRDefault="004F04B8" w:rsidP="00495D6D">
            <w:pPr>
              <w:spacing w:line="240" w:lineRule="auto"/>
              <w:rPr>
                <w:rFonts w:ascii="Times New Roman" w:hAnsi="Times New Roman"/>
              </w:rPr>
            </w:pPr>
          </w:p>
          <w:p w14:paraId="55C8AAFE" w14:textId="77777777" w:rsidR="004F04B8" w:rsidRPr="002269DF" w:rsidRDefault="004F04B8" w:rsidP="00495D6D">
            <w:pPr>
              <w:spacing w:line="240" w:lineRule="auto"/>
              <w:rPr>
                <w:rFonts w:ascii="Times New Roman" w:hAnsi="Times New Roman"/>
              </w:rPr>
            </w:pPr>
          </w:p>
          <w:p w14:paraId="0E54A466" w14:textId="77777777" w:rsidR="004F04B8" w:rsidRPr="002269DF" w:rsidRDefault="004F04B8" w:rsidP="00495D6D">
            <w:pPr>
              <w:spacing w:line="240" w:lineRule="auto"/>
              <w:rPr>
                <w:rFonts w:ascii="Times New Roman" w:hAnsi="Times New Roman"/>
              </w:rPr>
            </w:pPr>
          </w:p>
          <w:p w14:paraId="60339387" w14:textId="77777777" w:rsidR="003B6520" w:rsidRPr="002269DF" w:rsidRDefault="003B6520" w:rsidP="00495D6D">
            <w:pPr>
              <w:spacing w:line="240" w:lineRule="auto"/>
              <w:rPr>
                <w:rFonts w:ascii="Times New Roman" w:hAnsi="Times New Roman"/>
              </w:rPr>
            </w:pPr>
          </w:p>
          <w:p w14:paraId="35AF7DE8" w14:textId="77777777" w:rsidR="004F04B8" w:rsidRPr="002269DF" w:rsidRDefault="004F04B8" w:rsidP="00495D6D">
            <w:pPr>
              <w:spacing w:line="240" w:lineRule="auto"/>
              <w:rPr>
                <w:rFonts w:ascii="Times New Roman" w:hAnsi="Times New Roman"/>
              </w:rPr>
            </w:pPr>
          </w:p>
          <w:p w14:paraId="287DFB49" w14:textId="77777777" w:rsidR="004F04B8" w:rsidRPr="002269DF" w:rsidRDefault="004F04B8" w:rsidP="00495D6D">
            <w:pPr>
              <w:spacing w:line="240" w:lineRule="auto"/>
              <w:rPr>
                <w:rFonts w:ascii="Times New Roman" w:hAnsi="Times New Roman"/>
              </w:rPr>
            </w:pPr>
          </w:p>
          <w:p w14:paraId="041DD65F" w14:textId="77777777" w:rsidR="004F04B8" w:rsidRPr="002269DF" w:rsidRDefault="004F04B8" w:rsidP="00495D6D">
            <w:pPr>
              <w:spacing w:line="240" w:lineRule="auto"/>
              <w:rPr>
                <w:rFonts w:ascii="Times New Roman" w:hAnsi="Times New Roman"/>
              </w:rPr>
            </w:pPr>
          </w:p>
          <w:p w14:paraId="07B5AC7E" w14:textId="77777777" w:rsidR="004F04B8" w:rsidRPr="002269DF" w:rsidRDefault="004F04B8" w:rsidP="00495D6D">
            <w:pPr>
              <w:spacing w:line="240" w:lineRule="auto"/>
              <w:rPr>
                <w:rFonts w:ascii="Times New Roman" w:hAnsi="Times New Roman"/>
              </w:rPr>
            </w:pPr>
          </w:p>
          <w:p w14:paraId="5FA7172B" w14:textId="77777777" w:rsidR="004F04B8" w:rsidRPr="002269DF" w:rsidRDefault="00495D6D" w:rsidP="00495D6D">
            <w:pPr>
              <w:spacing w:line="240" w:lineRule="auto"/>
              <w:rPr>
                <w:rFonts w:ascii="Times New Roman" w:hAnsi="Times New Roman"/>
              </w:rPr>
            </w:pPr>
            <w:r w:rsidRPr="002269DF">
              <w:rPr>
                <w:rFonts w:ascii="Times New Roman" w:hAnsi="Times New Roman"/>
              </w:rPr>
              <w:t>ok. 3.000 jednostek mikro</w:t>
            </w:r>
          </w:p>
          <w:p w14:paraId="2830ABB5" w14:textId="77777777" w:rsidR="004F04B8" w:rsidRPr="002269DF" w:rsidRDefault="004F04B8" w:rsidP="00495D6D">
            <w:pPr>
              <w:spacing w:line="240" w:lineRule="auto"/>
              <w:rPr>
                <w:rFonts w:ascii="Times New Roman" w:hAnsi="Times New Roman"/>
              </w:rPr>
            </w:pPr>
          </w:p>
          <w:p w14:paraId="6E38057C" w14:textId="77777777" w:rsidR="004F04B8" w:rsidRPr="002269DF" w:rsidRDefault="004F04B8" w:rsidP="00495D6D">
            <w:pPr>
              <w:spacing w:line="240" w:lineRule="auto"/>
              <w:rPr>
                <w:rFonts w:ascii="Times New Roman" w:hAnsi="Times New Roman"/>
              </w:rPr>
            </w:pPr>
          </w:p>
          <w:p w14:paraId="763751DE" w14:textId="77777777" w:rsidR="004F04B8" w:rsidRPr="002269DF" w:rsidRDefault="004F04B8" w:rsidP="00495D6D">
            <w:pPr>
              <w:spacing w:line="240" w:lineRule="auto"/>
              <w:rPr>
                <w:rFonts w:ascii="Times New Roman" w:hAnsi="Times New Roman"/>
              </w:rPr>
            </w:pPr>
          </w:p>
          <w:p w14:paraId="434C9A2C" w14:textId="77777777" w:rsidR="004F04B8" w:rsidRPr="002269DF" w:rsidRDefault="004F04B8" w:rsidP="00495D6D">
            <w:pPr>
              <w:spacing w:line="240" w:lineRule="auto"/>
              <w:rPr>
                <w:rFonts w:ascii="Times New Roman" w:hAnsi="Times New Roman"/>
              </w:rPr>
            </w:pPr>
          </w:p>
          <w:p w14:paraId="6CC372CF" w14:textId="77777777" w:rsidR="004F04B8" w:rsidRPr="002269DF" w:rsidRDefault="004F04B8" w:rsidP="00495D6D">
            <w:pPr>
              <w:spacing w:line="240" w:lineRule="auto"/>
              <w:rPr>
                <w:rFonts w:ascii="Times New Roman" w:hAnsi="Times New Roman"/>
              </w:rPr>
            </w:pPr>
          </w:p>
          <w:p w14:paraId="21184D76" w14:textId="77777777" w:rsidR="004F04B8" w:rsidRPr="002269DF" w:rsidRDefault="004F04B8" w:rsidP="00495D6D">
            <w:pPr>
              <w:spacing w:line="240" w:lineRule="auto"/>
              <w:rPr>
                <w:rFonts w:ascii="Times New Roman" w:hAnsi="Times New Roman"/>
              </w:rPr>
            </w:pPr>
          </w:p>
          <w:p w14:paraId="3C606ED3" w14:textId="77777777" w:rsidR="00495D6D" w:rsidRPr="002269DF" w:rsidRDefault="00495D6D" w:rsidP="00495D6D">
            <w:pPr>
              <w:spacing w:line="240" w:lineRule="auto"/>
              <w:rPr>
                <w:rFonts w:ascii="Times New Roman" w:hAnsi="Times New Roman"/>
              </w:rPr>
            </w:pPr>
          </w:p>
          <w:p w14:paraId="5A886F04" w14:textId="77777777" w:rsidR="00495D6D" w:rsidRPr="002269DF" w:rsidRDefault="00495D6D" w:rsidP="00495D6D">
            <w:pPr>
              <w:spacing w:line="240" w:lineRule="auto"/>
              <w:rPr>
                <w:rFonts w:ascii="Times New Roman" w:hAnsi="Times New Roman"/>
              </w:rPr>
            </w:pPr>
          </w:p>
          <w:p w14:paraId="3F17C88A" w14:textId="77777777" w:rsidR="004F04B8" w:rsidRPr="002269DF" w:rsidRDefault="00495D6D" w:rsidP="00495D6D">
            <w:pPr>
              <w:spacing w:line="240" w:lineRule="auto"/>
              <w:rPr>
                <w:rFonts w:ascii="Times New Roman" w:hAnsi="Times New Roman"/>
              </w:rPr>
            </w:pPr>
            <w:r w:rsidRPr="002269DF">
              <w:rPr>
                <w:rFonts w:ascii="Times New Roman" w:hAnsi="Times New Roman"/>
              </w:rPr>
              <w:t>Możliwość dla 100% z przyjętej grupy jednostek</w:t>
            </w:r>
          </w:p>
          <w:p w14:paraId="0E75390B" w14:textId="77777777" w:rsidR="004F04B8" w:rsidRPr="002269DF" w:rsidRDefault="004F04B8" w:rsidP="00495D6D">
            <w:pPr>
              <w:spacing w:line="240" w:lineRule="auto"/>
              <w:rPr>
                <w:rFonts w:ascii="Times New Roman" w:hAnsi="Times New Roman"/>
              </w:rPr>
            </w:pPr>
          </w:p>
          <w:p w14:paraId="421A057B" w14:textId="77777777" w:rsidR="004F04B8" w:rsidRPr="002269DF" w:rsidRDefault="004F04B8" w:rsidP="00495D6D">
            <w:pPr>
              <w:spacing w:line="240" w:lineRule="auto"/>
              <w:rPr>
                <w:rFonts w:ascii="Times New Roman" w:hAnsi="Times New Roman"/>
              </w:rPr>
            </w:pPr>
          </w:p>
          <w:p w14:paraId="7B511925" w14:textId="77777777" w:rsidR="004F04B8" w:rsidRPr="002269DF" w:rsidRDefault="004F04B8" w:rsidP="00495D6D">
            <w:pPr>
              <w:spacing w:line="240" w:lineRule="auto"/>
              <w:rPr>
                <w:rFonts w:ascii="Times New Roman" w:hAnsi="Times New Roman"/>
              </w:rPr>
            </w:pPr>
          </w:p>
          <w:p w14:paraId="713E9BFF" w14:textId="77777777" w:rsidR="004F04B8" w:rsidRPr="002269DF" w:rsidRDefault="004F04B8" w:rsidP="00495D6D">
            <w:pPr>
              <w:spacing w:line="240" w:lineRule="auto"/>
              <w:rPr>
                <w:rFonts w:ascii="Times New Roman" w:hAnsi="Times New Roman"/>
              </w:rPr>
            </w:pPr>
          </w:p>
          <w:p w14:paraId="09F373B6" w14:textId="77777777" w:rsidR="004F04B8" w:rsidRPr="002269DF" w:rsidRDefault="004F04B8" w:rsidP="00495D6D">
            <w:pPr>
              <w:spacing w:line="240" w:lineRule="auto"/>
              <w:rPr>
                <w:rFonts w:ascii="Times New Roman" w:hAnsi="Times New Roman"/>
              </w:rPr>
            </w:pPr>
          </w:p>
          <w:p w14:paraId="5BAABA26" w14:textId="77777777" w:rsidR="004F04B8" w:rsidRPr="002269DF" w:rsidRDefault="004F04B8" w:rsidP="00495D6D">
            <w:pPr>
              <w:spacing w:line="240" w:lineRule="auto"/>
              <w:rPr>
                <w:rFonts w:ascii="Times New Roman" w:hAnsi="Times New Roman"/>
              </w:rPr>
            </w:pPr>
          </w:p>
          <w:p w14:paraId="3FB42403" w14:textId="77777777" w:rsidR="004F04B8" w:rsidRPr="002269DF" w:rsidRDefault="004F04B8" w:rsidP="00495D6D">
            <w:pPr>
              <w:spacing w:line="240" w:lineRule="auto"/>
              <w:rPr>
                <w:rFonts w:ascii="Times New Roman" w:hAnsi="Times New Roman"/>
              </w:rPr>
            </w:pPr>
          </w:p>
          <w:p w14:paraId="7CD6699E" w14:textId="77777777" w:rsidR="004F04B8" w:rsidRPr="002269DF" w:rsidRDefault="004F04B8" w:rsidP="00495D6D">
            <w:pPr>
              <w:spacing w:line="240" w:lineRule="auto"/>
              <w:rPr>
                <w:rFonts w:ascii="Times New Roman" w:hAnsi="Times New Roman"/>
              </w:rPr>
            </w:pPr>
          </w:p>
          <w:p w14:paraId="489ECD21" w14:textId="77777777" w:rsidR="004F04B8" w:rsidRPr="002269DF" w:rsidRDefault="004F04B8" w:rsidP="00495D6D">
            <w:pPr>
              <w:spacing w:line="240" w:lineRule="auto"/>
              <w:rPr>
                <w:rFonts w:ascii="Times New Roman" w:hAnsi="Times New Roman"/>
              </w:rPr>
            </w:pPr>
          </w:p>
          <w:p w14:paraId="0F305936" w14:textId="77777777" w:rsidR="004F04B8" w:rsidRPr="002269DF" w:rsidRDefault="004F04B8" w:rsidP="00495D6D">
            <w:pPr>
              <w:spacing w:line="240" w:lineRule="auto"/>
              <w:rPr>
                <w:rFonts w:ascii="Times New Roman" w:hAnsi="Times New Roman"/>
              </w:rPr>
            </w:pPr>
          </w:p>
          <w:p w14:paraId="4CDB2783" w14:textId="77777777" w:rsidR="004F04B8" w:rsidRPr="002269DF" w:rsidRDefault="004F04B8" w:rsidP="00495D6D">
            <w:pPr>
              <w:spacing w:line="240" w:lineRule="auto"/>
              <w:rPr>
                <w:rFonts w:ascii="Times New Roman" w:hAnsi="Times New Roman"/>
              </w:rPr>
            </w:pPr>
          </w:p>
          <w:p w14:paraId="0E879D97" w14:textId="77777777" w:rsidR="004F04B8" w:rsidRPr="002269DF" w:rsidRDefault="004F04B8" w:rsidP="00495D6D">
            <w:pPr>
              <w:spacing w:line="240" w:lineRule="auto"/>
              <w:rPr>
                <w:rFonts w:ascii="Times New Roman" w:hAnsi="Times New Roman"/>
              </w:rPr>
            </w:pPr>
          </w:p>
          <w:p w14:paraId="03B56AE6" w14:textId="77777777" w:rsidR="00495D6D" w:rsidRPr="002269DF" w:rsidRDefault="00495D6D" w:rsidP="00495D6D">
            <w:pPr>
              <w:spacing w:line="240" w:lineRule="auto"/>
              <w:rPr>
                <w:rFonts w:ascii="Times New Roman" w:hAnsi="Times New Roman"/>
              </w:rPr>
            </w:pPr>
          </w:p>
          <w:p w14:paraId="61D2A024" w14:textId="77777777" w:rsidR="00495D6D" w:rsidRPr="002269DF" w:rsidRDefault="00495D6D" w:rsidP="00495D6D">
            <w:pPr>
              <w:spacing w:line="240" w:lineRule="auto"/>
              <w:rPr>
                <w:rFonts w:ascii="Times New Roman" w:hAnsi="Times New Roman"/>
              </w:rPr>
            </w:pPr>
          </w:p>
          <w:p w14:paraId="685673D2" w14:textId="77777777" w:rsidR="00495D6D" w:rsidRPr="002269DF" w:rsidRDefault="00495D6D" w:rsidP="00495D6D">
            <w:pPr>
              <w:spacing w:line="240" w:lineRule="auto"/>
              <w:rPr>
                <w:rFonts w:ascii="Times New Roman" w:hAnsi="Times New Roman"/>
              </w:rPr>
            </w:pPr>
          </w:p>
          <w:p w14:paraId="57A62AF6" w14:textId="77777777" w:rsidR="00495D6D" w:rsidRPr="002269DF" w:rsidRDefault="00495D6D" w:rsidP="00495D6D">
            <w:pPr>
              <w:spacing w:line="240" w:lineRule="auto"/>
              <w:rPr>
                <w:rFonts w:ascii="Times New Roman" w:hAnsi="Times New Roman"/>
              </w:rPr>
            </w:pPr>
          </w:p>
          <w:p w14:paraId="1CCAF9E2" w14:textId="77777777" w:rsidR="004F04B8" w:rsidRPr="002269DF" w:rsidRDefault="004F04B8" w:rsidP="00495D6D">
            <w:pPr>
              <w:spacing w:line="240" w:lineRule="auto"/>
              <w:rPr>
                <w:rFonts w:ascii="Times New Roman" w:hAnsi="Times New Roman"/>
              </w:rPr>
            </w:pPr>
            <w:r w:rsidRPr="002269DF">
              <w:rPr>
                <w:rFonts w:ascii="Times New Roman" w:hAnsi="Times New Roman"/>
              </w:rPr>
              <w:t>100% z przyjętej grupy jednostek</w:t>
            </w:r>
          </w:p>
        </w:tc>
        <w:tc>
          <w:tcPr>
            <w:tcW w:w="1701" w:type="dxa"/>
            <w:gridSpan w:val="7"/>
            <w:shd w:val="clear" w:color="auto" w:fill="auto"/>
          </w:tcPr>
          <w:p w14:paraId="31E116C3" w14:textId="77777777" w:rsidR="004F04B8" w:rsidRPr="002269DF" w:rsidRDefault="00CA20AD"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lastRenderedPageBreak/>
              <w:t>Dane własne MR</w:t>
            </w:r>
          </w:p>
          <w:p w14:paraId="23331181" w14:textId="77777777" w:rsidR="004F04B8" w:rsidRPr="002269DF" w:rsidRDefault="004F04B8" w:rsidP="00495D6D">
            <w:pPr>
              <w:spacing w:line="240" w:lineRule="auto"/>
              <w:rPr>
                <w:rFonts w:ascii="Times New Roman" w:hAnsi="Times New Roman"/>
              </w:rPr>
            </w:pPr>
          </w:p>
          <w:p w14:paraId="79335375" w14:textId="77777777" w:rsidR="004F04B8" w:rsidRPr="002269DF" w:rsidRDefault="004F04B8" w:rsidP="00495D6D">
            <w:pPr>
              <w:spacing w:line="240" w:lineRule="auto"/>
              <w:rPr>
                <w:rFonts w:ascii="Times New Roman" w:hAnsi="Times New Roman"/>
              </w:rPr>
            </w:pPr>
          </w:p>
          <w:p w14:paraId="4115A84A" w14:textId="77777777" w:rsidR="004F04B8" w:rsidRPr="002269DF" w:rsidRDefault="004F04B8" w:rsidP="00495D6D">
            <w:pPr>
              <w:spacing w:line="240" w:lineRule="auto"/>
              <w:rPr>
                <w:rFonts w:ascii="Times New Roman" w:hAnsi="Times New Roman"/>
              </w:rPr>
            </w:pPr>
          </w:p>
          <w:p w14:paraId="76E5F13A" w14:textId="77777777" w:rsidR="004F04B8" w:rsidRPr="002269DF" w:rsidRDefault="004F04B8" w:rsidP="00495D6D">
            <w:pPr>
              <w:spacing w:line="240" w:lineRule="auto"/>
              <w:rPr>
                <w:rFonts w:ascii="Times New Roman" w:hAnsi="Times New Roman"/>
              </w:rPr>
            </w:pPr>
          </w:p>
          <w:p w14:paraId="6E642FCF" w14:textId="77777777" w:rsidR="004F04B8" w:rsidRPr="002269DF" w:rsidRDefault="004F04B8" w:rsidP="00495D6D">
            <w:pPr>
              <w:spacing w:line="240" w:lineRule="auto"/>
              <w:rPr>
                <w:rFonts w:ascii="Times New Roman" w:hAnsi="Times New Roman"/>
              </w:rPr>
            </w:pPr>
          </w:p>
          <w:p w14:paraId="148B0E37" w14:textId="77777777" w:rsidR="004F04B8" w:rsidRPr="002269DF" w:rsidRDefault="004F04B8" w:rsidP="00495D6D">
            <w:pPr>
              <w:spacing w:line="240" w:lineRule="auto"/>
              <w:rPr>
                <w:rFonts w:ascii="Times New Roman" w:hAnsi="Times New Roman"/>
              </w:rPr>
            </w:pPr>
          </w:p>
          <w:p w14:paraId="35AD0AC1" w14:textId="77777777" w:rsidR="004F04B8" w:rsidRPr="002269DF" w:rsidRDefault="004F04B8" w:rsidP="00495D6D">
            <w:pPr>
              <w:spacing w:line="240" w:lineRule="auto"/>
              <w:rPr>
                <w:rFonts w:ascii="Times New Roman" w:hAnsi="Times New Roman"/>
              </w:rPr>
            </w:pPr>
          </w:p>
          <w:p w14:paraId="4A825F7C" w14:textId="77777777" w:rsidR="004F04B8" w:rsidRPr="002269DF" w:rsidRDefault="004F04B8" w:rsidP="00495D6D">
            <w:pPr>
              <w:spacing w:line="240" w:lineRule="auto"/>
              <w:rPr>
                <w:rFonts w:ascii="Times New Roman" w:hAnsi="Times New Roman"/>
              </w:rPr>
            </w:pPr>
          </w:p>
          <w:p w14:paraId="0695FBEE" w14:textId="77777777" w:rsidR="004F04B8" w:rsidRPr="002269DF" w:rsidRDefault="004F04B8" w:rsidP="00495D6D">
            <w:pPr>
              <w:spacing w:line="240" w:lineRule="auto"/>
              <w:rPr>
                <w:rFonts w:ascii="Times New Roman" w:hAnsi="Times New Roman"/>
              </w:rPr>
            </w:pPr>
          </w:p>
          <w:p w14:paraId="42EE91CF" w14:textId="77777777" w:rsidR="004F04B8" w:rsidRPr="002269DF" w:rsidRDefault="004F04B8" w:rsidP="00495D6D">
            <w:pPr>
              <w:spacing w:line="240" w:lineRule="auto"/>
              <w:rPr>
                <w:rFonts w:ascii="Times New Roman" w:hAnsi="Times New Roman"/>
              </w:rPr>
            </w:pPr>
          </w:p>
          <w:p w14:paraId="555C7C74" w14:textId="77777777" w:rsidR="004F04B8" w:rsidRPr="002269DF" w:rsidRDefault="004F04B8" w:rsidP="00495D6D">
            <w:pPr>
              <w:spacing w:line="240" w:lineRule="auto"/>
              <w:rPr>
                <w:rFonts w:ascii="Times New Roman" w:hAnsi="Times New Roman"/>
              </w:rPr>
            </w:pPr>
          </w:p>
          <w:p w14:paraId="581F4834" w14:textId="77777777" w:rsidR="004F04B8" w:rsidRPr="002269DF" w:rsidRDefault="004F04B8" w:rsidP="00495D6D">
            <w:pPr>
              <w:spacing w:line="240" w:lineRule="auto"/>
              <w:rPr>
                <w:rFonts w:ascii="Times New Roman" w:hAnsi="Times New Roman"/>
              </w:rPr>
            </w:pPr>
          </w:p>
          <w:p w14:paraId="4321D978" w14:textId="77777777" w:rsidR="004F04B8" w:rsidRPr="002269DF" w:rsidRDefault="004F04B8" w:rsidP="00495D6D">
            <w:pPr>
              <w:spacing w:line="240" w:lineRule="auto"/>
              <w:rPr>
                <w:rFonts w:ascii="Times New Roman" w:hAnsi="Times New Roman"/>
              </w:rPr>
            </w:pPr>
          </w:p>
          <w:p w14:paraId="04A09DA0" w14:textId="77777777" w:rsidR="004F04B8" w:rsidRPr="002269DF" w:rsidRDefault="004F04B8" w:rsidP="00495D6D">
            <w:pPr>
              <w:spacing w:line="240" w:lineRule="auto"/>
              <w:rPr>
                <w:rFonts w:ascii="Times New Roman" w:hAnsi="Times New Roman"/>
              </w:rPr>
            </w:pPr>
          </w:p>
          <w:p w14:paraId="20CBAC1D" w14:textId="77777777" w:rsidR="004F04B8" w:rsidRPr="002269DF" w:rsidRDefault="004F04B8" w:rsidP="00495D6D">
            <w:pPr>
              <w:spacing w:line="240" w:lineRule="auto"/>
              <w:rPr>
                <w:rFonts w:ascii="Times New Roman" w:hAnsi="Times New Roman"/>
              </w:rPr>
            </w:pPr>
          </w:p>
          <w:p w14:paraId="409695B9" w14:textId="77777777" w:rsidR="004F04B8" w:rsidRPr="002269DF" w:rsidRDefault="004F04B8" w:rsidP="00495D6D">
            <w:pPr>
              <w:spacing w:line="240" w:lineRule="auto"/>
              <w:rPr>
                <w:rFonts w:ascii="Times New Roman" w:hAnsi="Times New Roman"/>
              </w:rPr>
            </w:pPr>
          </w:p>
          <w:p w14:paraId="6BFAB518" w14:textId="77777777" w:rsidR="004F04B8" w:rsidRPr="002269DF" w:rsidRDefault="004F04B8" w:rsidP="00495D6D">
            <w:pPr>
              <w:spacing w:line="240" w:lineRule="auto"/>
              <w:rPr>
                <w:rFonts w:ascii="Times New Roman" w:hAnsi="Times New Roman"/>
              </w:rPr>
            </w:pPr>
          </w:p>
          <w:p w14:paraId="0C024039" w14:textId="77777777" w:rsidR="004F04B8" w:rsidRPr="002269DF" w:rsidRDefault="004F04B8" w:rsidP="00495D6D">
            <w:pPr>
              <w:spacing w:line="240" w:lineRule="auto"/>
              <w:rPr>
                <w:rFonts w:ascii="Times New Roman" w:hAnsi="Times New Roman"/>
              </w:rPr>
            </w:pPr>
          </w:p>
          <w:p w14:paraId="4D6690C4" w14:textId="77777777" w:rsidR="004F04B8" w:rsidRPr="002269DF" w:rsidRDefault="004F04B8" w:rsidP="00495D6D">
            <w:pPr>
              <w:spacing w:line="240" w:lineRule="auto"/>
              <w:rPr>
                <w:rFonts w:ascii="Times New Roman" w:hAnsi="Times New Roman"/>
              </w:rPr>
            </w:pPr>
          </w:p>
          <w:p w14:paraId="72CC82AC" w14:textId="77777777" w:rsidR="003B6520" w:rsidRPr="002269DF" w:rsidRDefault="003B6520" w:rsidP="00495D6D">
            <w:pPr>
              <w:spacing w:line="240" w:lineRule="auto"/>
              <w:rPr>
                <w:rFonts w:ascii="Times New Roman" w:hAnsi="Times New Roman"/>
              </w:rPr>
            </w:pPr>
          </w:p>
          <w:p w14:paraId="2ABDE7AA" w14:textId="77777777" w:rsidR="003B6520" w:rsidRPr="002269DF" w:rsidRDefault="003B6520" w:rsidP="00495D6D">
            <w:pPr>
              <w:spacing w:line="240" w:lineRule="auto"/>
              <w:rPr>
                <w:rFonts w:ascii="Times New Roman" w:hAnsi="Times New Roman"/>
              </w:rPr>
            </w:pPr>
          </w:p>
          <w:p w14:paraId="526D1CE1" w14:textId="77777777" w:rsidR="003B6520" w:rsidRPr="002269DF" w:rsidRDefault="003B6520" w:rsidP="00495D6D">
            <w:pPr>
              <w:spacing w:line="240" w:lineRule="auto"/>
              <w:rPr>
                <w:rFonts w:ascii="Times New Roman" w:hAnsi="Times New Roman"/>
              </w:rPr>
            </w:pPr>
          </w:p>
          <w:p w14:paraId="3EF9BF73" w14:textId="77777777" w:rsidR="003B6520" w:rsidRPr="002269DF" w:rsidRDefault="003B6520" w:rsidP="00495D6D">
            <w:pPr>
              <w:spacing w:line="240" w:lineRule="auto"/>
              <w:rPr>
                <w:rFonts w:ascii="Times New Roman" w:hAnsi="Times New Roman"/>
              </w:rPr>
            </w:pPr>
          </w:p>
          <w:p w14:paraId="0E328535" w14:textId="77777777" w:rsidR="004F04B8" w:rsidRPr="002269DF" w:rsidRDefault="004F04B8" w:rsidP="00495D6D">
            <w:pPr>
              <w:spacing w:line="240" w:lineRule="auto"/>
              <w:rPr>
                <w:rFonts w:ascii="Times New Roman" w:hAnsi="Times New Roman"/>
              </w:rPr>
            </w:pPr>
          </w:p>
          <w:p w14:paraId="432D0158" w14:textId="77777777" w:rsidR="004F04B8" w:rsidRPr="002269DF" w:rsidRDefault="004F04B8" w:rsidP="00495D6D">
            <w:pPr>
              <w:spacing w:line="240" w:lineRule="auto"/>
              <w:rPr>
                <w:rFonts w:ascii="Times New Roman" w:hAnsi="Times New Roman"/>
              </w:rPr>
            </w:pPr>
          </w:p>
          <w:p w14:paraId="30996490" w14:textId="77777777" w:rsidR="004F04B8" w:rsidRPr="002269DF" w:rsidRDefault="004F04B8" w:rsidP="00495D6D">
            <w:pPr>
              <w:spacing w:line="240" w:lineRule="auto"/>
              <w:rPr>
                <w:rFonts w:ascii="Times New Roman" w:hAnsi="Times New Roman"/>
              </w:rPr>
            </w:pPr>
          </w:p>
          <w:p w14:paraId="07B3A8C1" w14:textId="77777777" w:rsidR="004F04B8" w:rsidRPr="002269DF" w:rsidRDefault="00495D6D" w:rsidP="00495D6D">
            <w:pPr>
              <w:spacing w:line="240" w:lineRule="auto"/>
              <w:rPr>
                <w:rFonts w:ascii="Times New Roman" w:hAnsi="Times New Roman"/>
              </w:rPr>
            </w:pPr>
            <w:r w:rsidRPr="002269DF">
              <w:rPr>
                <w:rFonts w:ascii="Times New Roman" w:hAnsi="Times New Roman"/>
              </w:rPr>
              <w:t>GUS</w:t>
            </w:r>
          </w:p>
          <w:p w14:paraId="125DAFAF" w14:textId="77777777" w:rsidR="004F04B8" w:rsidRPr="002269DF" w:rsidRDefault="004F04B8" w:rsidP="00495D6D">
            <w:pPr>
              <w:spacing w:line="240" w:lineRule="auto"/>
              <w:rPr>
                <w:rFonts w:ascii="Times New Roman" w:hAnsi="Times New Roman"/>
              </w:rPr>
            </w:pPr>
          </w:p>
          <w:p w14:paraId="2F298F90" w14:textId="77777777" w:rsidR="004F04B8" w:rsidRPr="002269DF" w:rsidRDefault="004F04B8" w:rsidP="00495D6D">
            <w:pPr>
              <w:spacing w:line="240" w:lineRule="auto"/>
              <w:rPr>
                <w:rFonts w:ascii="Times New Roman" w:hAnsi="Times New Roman"/>
              </w:rPr>
            </w:pPr>
          </w:p>
          <w:p w14:paraId="6875499F" w14:textId="77777777" w:rsidR="004F04B8" w:rsidRPr="002269DF" w:rsidRDefault="004F04B8" w:rsidP="00495D6D">
            <w:pPr>
              <w:spacing w:line="240" w:lineRule="auto"/>
              <w:rPr>
                <w:rFonts w:ascii="Times New Roman" w:hAnsi="Times New Roman"/>
              </w:rPr>
            </w:pPr>
          </w:p>
          <w:p w14:paraId="76964F72" w14:textId="77777777" w:rsidR="004F04B8" w:rsidRPr="002269DF" w:rsidRDefault="004F04B8" w:rsidP="00495D6D">
            <w:pPr>
              <w:spacing w:line="240" w:lineRule="auto"/>
              <w:jc w:val="both"/>
              <w:rPr>
                <w:rFonts w:ascii="Times New Roman" w:hAnsi="Times New Roman"/>
              </w:rPr>
            </w:pPr>
          </w:p>
          <w:p w14:paraId="7F72BDD3" w14:textId="77777777" w:rsidR="004F04B8" w:rsidRPr="002269DF" w:rsidRDefault="004F04B8" w:rsidP="00495D6D">
            <w:pPr>
              <w:spacing w:line="240" w:lineRule="auto"/>
              <w:jc w:val="both"/>
              <w:rPr>
                <w:rFonts w:ascii="Times New Roman" w:hAnsi="Times New Roman"/>
              </w:rPr>
            </w:pPr>
          </w:p>
          <w:p w14:paraId="6FE939C4" w14:textId="77777777" w:rsidR="004F04B8" w:rsidRPr="002269DF" w:rsidRDefault="004F04B8" w:rsidP="00495D6D">
            <w:pPr>
              <w:spacing w:line="240" w:lineRule="auto"/>
              <w:jc w:val="both"/>
              <w:rPr>
                <w:rFonts w:ascii="Times New Roman" w:hAnsi="Times New Roman"/>
              </w:rPr>
            </w:pPr>
          </w:p>
          <w:p w14:paraId="615A069E" w14:textId="77777777" w:rsidR="004F04B8" w:rsidRPr="002269DF" w:rsidRDefault="004F04B8" w:rsidP="00495D6D">
            <w:pPr>
              <w:spacing w:line="240" w:lineRule="auto"/>
              <w:jc w:val="both"/>
              <w:rPr>
                <w:rFonts w:ascii="Times New Roman" w:hAnsi="Times New Roman"/>
              </w:rPr>
            </w:pPr>
          </w:p>
          <w:p w14:paraId="55BCC353" w14:textId="77777777" w:rsidR="00495D6D" w:rsidRPr="002269DF" w:rsidRDefault="00495D6D" w:rsidP="00495D6D">
            <w:pPr>
              <w:spacing w:line="240" w:lineRule="auto"/>
              <w:jc w:val="both"/>
              <w:rPr>
                <w:rFonts w:ascii="Times New Roman" w:hAnsi="Times New Roman"/>
              </w:rPr>
            </w:pPr>
            <w:r w:rsidRPr="002269DF">
              <w:rPr>
                <w:rFonts w:ascii="Times New Roman" w:hAnsi="Times New Roman"/>
              </w:rPr>
              <w:t>Przyjęto szacunkowo –</w:t>
            </w:r>
          </w:p>
          <w:p w14:paraId="459E1E85" w14:textId="77777777" w:rsidR="00495D6D" w:rsidRPr="002269DF" w:rsidRDefault="00495D6D" w:rsidP="00495D6D">
            <w:pPr>
              <w:spacing w:line="240" w:lineRule="auto"/>
              <w:jc w:val="both"/>
              <w:rPr>
                <w:rFonts w:ascii="Times New Roman" w:hAnsi="Times New Roman"/>
              </w:rPr>
            </w:pPr>
            <w:r w:rsidRPr="002269DF">
              <w:rPr>
                <w:rFonts w:ascii="Times New Roman" w:hAnsi="Times New Roman"/>
              </w:rPr>
              <w:t>zmiana oddziaływałaby</w:t>
            </w:r>
          </w:p>
          <w:p w14:paraId="5E05A636" w14:textId="77777777" w:rsidR="00495D6D" w:rsidRPr="002269DF" w:rsidRDefault="00495D6D" w:rsidP="00495D6D">
            <w:pPr>
              <w:spacing w:line="240" w:lineRule="auto"/>
              <w:jc w:val="both"/>
              <w:rPr>
                <w:rFonts w:ascii="Times New Roman" w:hAnsi="Times New Roman"/>
              </w:rPr>
            </w:pPr>
            <w:r w:rsidRPr="002269DF">
              <w:rPr>
                <w:rFonts w:ascii="Times New Roman" w:hAnsi="Times New Roman"/>
              </w:rPr>
              <w:t>na podobną grupę</w:t>
            </w:r>
          </w:p>
          <w:p w14:paraId="19C653EA" w14:textId="77777777" w:rsidR="00495D6D" w:rsidRPr="002269DF" w:rsidRDefault="00495D6D" w:rsidP="00495D6D">
            <w:pPr>
              <w:spacing w:line="240" w:lineRule="auto"/>
              <w:jc w:val="both"/>
              <w:rPr>
                <w:rFonts w:ascii="Times New Roman" w:hAnsi="Times New Roman"/>
              </w:rPr>
            </w:pPr>
            <w:r w:rsidRPr="002269DF">
              <w:rPr>
                <w:rFonts w:ascii="Times New Roman" w:hAnsi="Times New Roman"/>
              </w:rPr>
              <w:t>jednostek jaką wskazano</w:t>
            </w:r>
          </w:p>
          <w:p w14:paraId="688DF9DE" w14:textId="77777777" w:rsidR="00495D6D" w:rsidRPr="002269DF" w:rsidRDefault="00495D6D" w:rsidP="00495D6D">
            <w:pPr>
              <w:spacing w:line="240" w:lineRule="auto"/>
              <w:jc w:val="both"/>
              <w:rPr>
                <w:rFonts w:ascii="Times New Roman" w:hAnsi="Times New Roman"/>
              </w:rPr>
            </w:pPr>
            <w:r w:rsidRPr="002269DF">
              <w:rPr>
                <w:rFonts w:ascii="Times New Roman" w:hAnsi="Times New Roman"/>
              </w:rPr>
              <w:t>dla zmiany</w:t>
            </w:r>
          </w:p>
          <w:p w14:paraId="29B7ACE4" w14:textId="77777777" w:rsidR="00495D6D" w:rsidRPr="002269DF" w:rsidRDefault="00495D6D" w:rsidP="00495D6D">
            <w:pPr>
              <w:spacing w:line="240" w:lineRule="auto"/>
              <w:jc w:val="both"/>
              <w:rPr>
                <w:rFonts w:ascii="Times New Roman" w:hAnsi="Times New Roman"/>
              </w:rPr>
            </w:pPr>
            <w:r w:rsidRPr="002269DF">
              <w:rPr>
                <w:rFonts w:ascii="Times New Roman" w:hAnsi="Times New Roman"/>
              </w:rPr>
              <w:t>rozszerzającej katalog</w:t>
            </w:r>
          </w:p>
          <w:p w14:paraId="0670683F" w14:textId="77777777" w:rsidR="00495D6D" w:rsidRPr="002269DF" w:rsidRDefault="00495D6D" w:rsidP="00495D6D">
            <w:pPr>
              <w:spacing w:line="240" w:lineRule="auto"/>
              <w:jc w:val="both"/>
              <w:rPr>
                <w:rFonts w:ascii="Times New Roman" w:hAnsi="Times New Roman"/>
              </w:rPr>
            </w:pPr>
            <w:r w:rsidRPr="002269DF">
              <w:rPr>
                <w:rFonts w:ascii="Times New Roman" w:hAnsi="Times New Roman"/>
              </w:rPr>
              <w:t>jednostek małych.</w:t>
            </w:r>
          </w:p>
          <w:p w14:paraId="215BDBF5" w14:textId="77777777" w:rsidR="004F04B8" w:rsidRPr="002269DF" w:rsidRDefault="004F04B8" w:rsidP="00495D6D">
            <w:pPr>
              <w:spacing w:line="240" w:lineRule="auto"/>
              <w:jc w:val="both"/>
              <w:rPr>
                <w:rFonts w:ascii="Times New Roman" w:hAnsi="Times New Roman"/>
              </w:rPr>
            </w:pPr>
          </w:p>
          <w:p w14:paraId="5C11F9C7" w14:textId="77777777" w:rsidR="004F04B8" w:rsidRPr="002269DF" w:rsidRDefault="004F04B8" w:rsidP="00495D6D">
            <w:pPr>
              <w:spacing w:line="240" w:lineRule="auto"/>
              <w:jc w:val="both"/>
              <w:rPr>
                <w:rFonts w:ascii="Times New Roman" w:hAnsi="Times New Roman"/>
              </w:rPr>
            </w:pPr>
          </w:p>
          <w:p w14:paraId="38A834D7" w14:textId="77777777" w:rsidR="004F04B8" w:rsidRPr="002269DF" w:rsidRDefault="004F04B8" w:rsidP="00495D6D">
            <w:pPr>
              <w:spacing w:line="240" w:lineRule="auto"/>
              <w:jc w:val="both"/>
              <w:rPr>
                <w:rFonts w:ascii="Times New Roman" w:hAnsi="Times New Roman"/>
              </w:rPr>
            </w:pPr>
          </w:p>
          <w:p w14:paraId="27FFE503" w14:textId="77777777" w:rsidR="003B6520" w:rsidRPr="002269DF" w:rsidRDefault="003B6520" w:rsidP="00495D6D">
            <w:pPr>
              <w:spacing w:line="240" w:lineRule="auto"/>
              <w:jc w:val="both"/>
              <w:rPr>
                <w:rFonts w:ascii="Times New Roman" w:hAnsi="Times New Roman"/>
              </w:rPr>
            </w:pPr>
          </w:p>
          <w:p w14:paraId="1F0173D1" w14:textId="77777777" w:rsidR="004F04B8" w:rsidRPr="002269DF" w:rsidRDefault="004F04B8" w:rsidP="00495D6D">
            <w:pPr>
              <w:spacing w:line="240" w:lineRule="auto"/>
              <w:jc w:val="both"/>
              <w:rPr>
                <w:rFonts w:ascii="Times New Roman" w:hAnsi="Times New Roman"/>
              </w:rPr>
            </w:pPr>
          </w:p>
          <w:p w14:paraId="15C4D698" w14:textId="77777777" w:rsidR="004F04B8" w:rsidRPr="002269DF" w:rsidRDefault="004F04B8" w:rsidP="00495D6D">
            <w:pPr>
              <w:spacing w:line="240" w:lineRule="auto"/>
              <w:jc w:val="both"/>
              <w:rPr>
                <w:rFonts w:ascii="Times New Roman" w:hAnsi="Times New Roman"/>
              </w:rPr>
            </w:pPr>
          </w:p>
          <w:p w14:paraId="3B694B81" w14:textId="77777777" w:rsidR="004F04B8" w:rsidRPr="002269DF" w:rsidRDefault="004F04B8" w:rsidP="00495D6D">
            <w:pPr>
              <w:spacing w:line="240" w:lineRule="auto"/>
              <w:jc w:val="both"/>
              <w:rPr>
                <w:rFonts w:ascii="Times New Roman" w:hAnsi="Times New Roman"/>
              </w:rPr>
            </w:pPr>
          </w:p>
          <w:p w14:paraId="518255E0" w14:textId="77777777" w:rsidR="004F04B8" w:rsidRPr="002269DF" w:rsidRDefault="004F04B8" w:rsidP="00495D6D">
            <w:pPr>
              <w:spacing w:line="240" w:lineRule="auto"/>
              <w:jc w:val="both"/>
              <w:rPr>
                <w:rFonts w:ascii="Times New Roman" w:hAnsi="Times New Roman"/>
              </w:rPr>
            </w:pPr>
          </w:p>
          <w:p w14:paraId="10254D31" w14:textId="77777777" w:rsidR="004F04B8" w:rsidRPr="002269DF" w:rsidRDefault="00495D6D" w:rsidP="00495D6D">
            <w:pPr>
              <w:spacing w:line="240" w:lineRule="auto"/>
              <w:jc w:val="both"/>
              <w:rPr>
                <w:rFonts w:ascii="Times New Roman" w:hAnsi="Times New Roman"/>
              </w:rPr>
            </w:pPr>
            <w:r w:rsidRPr="002269DF">
              <w:rPr>
                <w:rFonts w:ascii="Times New Roman" w:hAnsi="Times New Roman"/>
              </w:rPr>
              <w:t>GUS</w:t>
            </w:r>
          </w:p>
          <w:p w14:paraId="020F09FA" w14:textId="77777777" w:rsidR="004F04B8" w:rsidRPr="002269DF" w:rsidRDefault="004F04B8" w:rsidP="00495D6D">
            <w:pPr>
              <w:spacing w:line="240" w:lineRule="auto"/>
              <w:jc w:val="both"/>
              <w:rPr>
                <w:rFonts w:ascii="Times New Roman" w:hAnsi="Times New Roman"/>
              </w:rPr>
            </w:pPr>
          </w:p>
          <w:p w14:paraId="15FE5FA4" w14:textId="77777777" w:rsidR="004F04B8" w:rsidRPr="002269DF" w:rsidRDefault="004F04B8" w:rsidP="00495D6D">
            <w:pPr>
              <w:spacing w:line="240" w:lineRule="auto"/>
              <w:jc w:val="both"/>
              <w:rPr>
                <w:rFonts w:ascii="Times New Roman" w:hAnsi="Times New Roman"/>
              </w:rPr>
            </w:pPr>
          </w:p>
          <w:p w14:paraId="5AA7C350" w14:textId="77777777" w:rsidR="004F04B8" w:rsidRPr="002269DF" w:rsidRDefault="004F04B8" w:rsidP="00495D6D">
            <w:pPr>
              <w:spacing w:line="240" w:lineRule="auto"/>
              <w:jc w:val="both"/>
              <w:rPr>
                <w:rFonts w:ascii="Times New Roman" w:hAnsi="Times New Roman"/>
              </w:rPr>
            </w:pPr>
          </w:p>
          <w:p w14:paraId="70FCAF66" w14:textId="77777777" w:rsidR="004F04B8" w:rsidRPr="002269DF" w:rsidRDefault="004F04B8" w:rsidP="00495D6D">
            <w:pPr>
              <w:spacing w:line="240" w:lineRule="auto"/>
              <w:jc w:val="both"/>
              <w:rPr>
                <w:rFonts w:ascii="Times New Roman" w:hAnsi="Times New Roman"/>
              </w:rPr>
            </w:pPr>
          </w:p>
          <w:p w14:paraId="28E1C601" w14:textId="77777777" w:rsidR="004F04B8" w:rsidRPr="002269DF" w:rsidRDefault="004F04B8" w:rsidP="00495D6D">
            <w:pPr>
              <w:spacing w:line="240" w:lineRule="auto"/>
              <w:jc w:val="both"/>
              <w:rPr>
                <w:rFonts w:ascii="Times New Roman" w:hAnsi="Times New Roman"/>
              </w:rPr>
            </w:pPr>
          </w:p>
          <w:p w14:paraId="7875E834" w14:textId="77777777" w:rsidR="004F04B8" w:rsidRPr="002269DF" w:rsidRDefault="004F04B8" w:rsidP="00495D6D">
            <w:pPr>
              <w:spacing w:line="240" w:lineRule="auto"/>
              <w:jc w:val="both"/>
              <w:rPr>
                <w:rFonts w:ascii="Times New Roman" w:hAnsi="Times New Roman"/>
              </w:rPr>
            </w:pPr>
          </w:p>
          <w:p w14:paraId="5E5A1CE8" w14:textId="77777777" w:rsidR="00495D6D" w:rsidRPr="002269DF" w:rsidRDefault="00495D6D" w:rsidP="00495D6D">
            <w:pPr>
              <w:spacing w:line="240" w:lineRule="auto"/>
              <w:jc w:val="both"/>
              <w:rPr>
                <w:rFonts w:ascii="Times New Roman" w:hAnsi="Times New Roman"/>
              </w:rPr>
            </w:pPr>
          </w:p>
          <w:p w14:paraId="4213E099" w14:textId="77777777" w:rsidR="004F04B8" w:rsidRPr="002269DF" w:rsidRDefault="004F04B8" w:rsidP="00495D6D">
            <w:pPr>
              <w:spacing w:line="240" w:lineRule="auto"/>
              <w:jc w:val="both"/>
              <w:rPr>
                <w:rFonts w:ascii="Times New Roman" w:hAnsi="Times New Roman"/>
              </w:rPr>
            </w:pPr>
          </w:p>
          <w:p w14:paraId="0F9C3224" w14:textId="77777777" w:rsidR="004F04B8" w:rsidRPr="002269DF" w:rsidRDefault="00495D6D" w:rsidP="00495D6D">
            <w:pPr>
              <w:spacing w:line="240" w:lineRule="auto"/>
              <w:jc w:val="both"/>
              <w:rPr>
                <w:rFonts w:ascii="Times New Roman" w:hAnsi="Times New Roman"/>
              </w:rPr>
            </w:pPr>
            <w:r w:rsidRPr="002269DF">
              <w:rPr>
                <w:rFonts w:ascii="Times New Roman" w:hAnsi="Times New Roman"/>
              </w:rPr>
              <w:t>Przyjęto szacunkowo</w:t>
            </w:r>
          </w:p>
          <w:p w14:paraId="763C3969" w14:textId="77777777" w:rsidR="004F04B8" w:rsidRPr="002269DF" w:rsidRDefault="004F04B8" w:rsidP="00495D6D">
            <w:pPr>
              <w:spacing w:line="240" w:lineRule="auto"/>
              <w:jc w:val="both"/>
              <w:rPr>
                <w:rFonts w:ascii="Times New Roman" w:hAnsi="Times New Roman"/>
              </w:rPr>
            </w:pPr>
          </w:p>
          <w:p w14:paraId="7F736308" w14:textId="77777777" w:rsidR="004F04B8" w:rsidRPr="002269DF" w:rsidRDefault="004F04B8" w:rsidP="00495D6D">
            <w:pPr>
              <w:spacing w:line="240" w:lineRule="auto"/>
              <w:jc w:val="both"/>
              <w:rPr>
                <w:rFonts w:ascii="Times New Roman" w:hAnsi="Times New Roman"/>
              </w:rPr>
            </w:pPr>
          </w:p>
          <w:p w14:paraId="08AB2DB5" w14:textId="77777777" w:rsidR="004F04B8" w:rsidRPr="002269DF" w:rsidRDefault="004F04B8" w:rsidP="00495D6D">
            <w:pPr>
              <w:spacing w:line="240" w:lineRule="auto"/>
              <w:jc w:val="both"/>
              <w:rPr>
                <w:rFonts w:ascii="Times New Roman" w:hAnsi="Times New Roman"/>
              </w:rPr>
            </w:pPr>
          </w:p>
          <w:p w14:paraId="2A053FB6" w14:textId="77777777" w:rsidR="004F04B8" w:rsidRPr="002269DF" w:rsidRDefault="004F04B8" w:rsidP="00495D6D">
            <w:pPr>
              <w:spacing w:line="240" w:lineRule="auto"/>
              <w:jc w:val="both"/>
              <w:rPr>
                <w:rFonts w:ascii="Times New Roman" w:hAnsi="Times New Roman"/>
              </w:rPr>
            </w:pPr>
          </w:p>
          <w:p w14:paraId="266A037C" w14:textId="77777777" w:rsidR="004F04B8" w:rsidRPr="002269DF" w:rsidRDefault="004F04B8" w:rsidP="00495D6D">
            <w:pPr>
              <w:spacing w:line="240" w:lineRule="auto"/>
              <w:jc w:val="both"/>
              <w:rPr>
                <w:rFonts w:ascii="Times New Roman" w:hAnsi="Times New Roman"/>
              </w:rPr>
            </w:pPr>
          </w:p>
          <w:p w14:paraId="4C1461C5" w14:textId="77777777" w:rsidR="004F04B8" w:rsidRPr="002269DF" w:rsidRDefault="004F04B8" w:rsidP="00495D6D">
            <w:pPr>
              <w:spacing w:line="240" w:lineRule="auto"/>
              <w:jc w:val="both"/>
              <w:rPr>
                <w:rFonts w:ascii="Times New Roman" w:hAnsi="Times New Roman"/>
              </w:rPr>
            </w:pPr>
          </w:p>
          <w:p w14:paraId="44F7A579" w14:textId="77777777" w:rsidR="004F04B8" w:rsidRPr="002269DF" w:rsidRDefault="004F04B8" w:rsidP="00495D6D">
            <w:pPr>
              <w:spacing w:line="240" w:lineRule="auto"/>
              <w:jc w:val="both"/>
              <w:rPr>
                <w:rFonts w:ascii="Times New Roman" w:hAnsi="Times New Roman"/>
              </w:rPr>
            </w:pPr>
          </w:p>
          <w:p w14:paraId="6B93E3CD" w14:textId="77777777" w:rsidR="004F04B8" w:rsidRPr="002269DF" w:rsidRDefault="004F04B8" w:rsidP="00495D6D">
            <w:pPr>
              <w:spacing w:line="240" w:lineRule="auto"/>
              <w:jc w:val="both"/>
              <w:rPr>
                <w:rFonts w:ascii="Times New Roman" w:hAnsi="Times New Roman"/>
              </w:rPr>
            </w:pPr>
          </w:p>
          <w:p w14:paraId="23972F4D" w14:textId="77777777" w:rsidR="004F04B8" w:rsidRPr="002269DF" w:rsidRDefault="004F04B8" w:rsidP="00495D6D">
            <w:pPr>
              <w:spacing w:line="240" w:lineRule="auto"/>
              <w:jc w:val="both"/>
              <w:rPr>
                <w:rFonts w:ascii="Times New Roman" w:hAnsi="Times New Roman"/>
              </w:rPr>
            </w:pPr>
          </w:p>
          <w:p w14:paraId="79FE7250" w14:textId="77777777" w:rsidR="004F04B8" w:rsidRPr="002269DF" w:rsidRDefault="004F04B8" w:rsidP="00495D6D">
            <w:pPr>
              <w:spacing w:line="240" w:lineRule="auto"/>
              <w:jc w:val="both"/>
              <w:rPr>
                <w:rFonts w:ascii="Times New Roman" w:hAnsi="Times New Roman"/>
              </w:rPr>
            </w:pPr>
          </w:p>
          <w:p w14:paraId="317462FF" w14:textId="77777777" w:rsidR="00495D6D" w:rsidRPr="002269DF" w:rsidRDefault="00495D6D" w:rsidP="00495D6D">
            <w:pPr>
              <w:spacing w:line="240" w:lineRule="auto"/>
              <w:jc w:val="both"/>
              <w:rPr>
                <w:rFonts w:ascii="Times New Roman" w:hAnsi="Times New Roman"/>
              </w:rPr>
            </w:pPr>
          </w:p>
          <w:p w14:paraId="590694E5" w14:textId="77777777" w:rsidR="00495D6D" w:rsidRPr="002269DF" w:rsidRDefault="00495D6D" w:rsidP="00495D6D">
            <w:pPr>
              <w:spacing w:line="240" w:lineRule="auto"/>
              <w:jc w:val="both"/>
              <w:rPr>
                <w:rFonts w:ascii="Times New Roman" w:hAnsi="Times New Roman"/>
              </w:rPr>
            </w:pPr>
          </w:p>
          <w:p w14:paraId="6C8B013C" w14:textId="77777777" w:rsidR="00495D6D" w:rsidRPr="002269DF" w:rsidRDefault="00495D6D" w:rsidP="00495D6D">
            <w:pPr>
              <w:spacing w:line="240" w:lineRule="auto"/>
              <w:jc w:val="both"/>
              <w:rPr>
                <w:rFonts w:ascii="Times New Roman" w:hAnsi="Times New Roman"/>
              </w:rPr>
            </w:pPr>
          </w:p>
          <w:p w14:paraId="2BBB5827" w14:textId="77777777" w:rsidR="0054100D" w:rsidRPr="002269DF" w:rsidRDefault="0054100D" w:rsidP="00495D6D">
            <w:pPr>
              <w:spacing w:line="240" w:lineRule="auto"/>
              <w:jc w:val="both"/>
              <w:rPr>
                <w:rFonts w:ascii="Times New Roman" w:hAnsi="Times New Roman"/>
              </w:rPr>
            </w:pPr>
          </w:p>
          <w:p w14:paraId="4D31A5A9" w14:textId="77777777" w:rsidR="0054100D" w:rsidRPr="002269DF" w:rsidRDefault="0054100D" w:rsidP="00495D6D">
            <w:pPr>
              <w:spacing w:line="240" w:lineRule="auto"/>
              <w:jc w:val="both"/>
              <w:rPr>
                <w:rFonts w:ascii="Times New Roman" w:hAnsi="Times New Roman"/>
              </w:rPr>
            </w:pPr>
          </w:p>
          <w:p w14:paraId="04AD27E7" w14:textId="77777777" w:rsidR="004F04B8" w:rsidRPr="002269DF" w:rsidRDefault="004F04B8" w:rsidP="00495D6D">
            <w:pPr>
              <w:spacing w:line="240" w:lineRule="auto"/>
              <w:jc w:val="both"/>
              <w:rPr>
                <w:rFonts w:ascii="Times New Roman" w:hAnsi="Times New Roman"/>
              </w:rPr>
            </w:pPr>
            <w:r w:rsidRPr="002269DF">
              <w:rPr>
                <w:rFonts w:ascii="Times New Roman" w:hAnsi="Times New Roman"/>
              </w:rPr>
              <w:t>Przyjęto szacunkowo</w:t>
            </w:r>
          </w:p>
        </w:tc>
        <w:tc>
          <w:tcPr>
            <w:tcW w:w="2148" w:type="dxa"/>
            <w:gridSpan w:val="4"/>
            <w:shd w:val="clear" w:color="auto" w:fill="auto"/>
          </w:tcPr>
          <w:p w14:paraId="01E084CA" w14:textId="614537DE" w:rsidR="00144E0F" w:rsidRPr="002269DF" w:rsidRDefault="00144E0F" w:rsidP="00495D6D">
            <w:pPr>
              <w:autoSpaceDE w:val="0"/>
              <w:autoSpaceDN w:val="0"/>
              <w:adjustRightInd w:val="0"/>
              <w:spacing w:line="240" w:lineRule="auto"/>
              <w:rPr>
                <w:rFonts w:ascii="Times New Roman" w:hAnsi="Times New Roman"/>
              </w:rPr>
            </w:pPr>
            <w:r w:rsidRPr="002269DF">
              <w:rPr>
                <w:rFonts w:ascii="Times New Roman" w:hAnsi="Times New Roman"/>
              </w:rPr>
              <w:lastRenderedPageBreak/>
              <w:t>Zniesienie obligatoryjnego obowiązku dołączania do</w:t>
            </w:r>
            <w:r w:rsidR="009060D1">
              <w:rPr>
                <w:rFonts w:ascii="Times New Roman" w:hAnsi="Times New Roman"/>
              </w:rPr>
              <w:t> </w:t>
            </w:r>
            <w:r w:rsidRPr="002269DF">
              <w:rPr>
                <w:rFonts w:ascii="Times New Roman" w:hAnsi="Times New Roman"/>
              </w:rPr>
              <w:t>wniosku tłumaczenia dokumentów, co</w:t>
            </w:r>
            <w:r w:rsidR="009060D1">
              <w:rPr>
                <w:rFonts w:ascii="Times New Roman" w:hAnsi="Times New Roman"/>
              </w:rPr>
              <w:t> </w:t>
            </w:r>
            <w:r w:rsidRPr="002269DF">
              <w:rPr>
                <w:rFonts w:ascii="Times New Roman" w:hAnsi="Times New Roman"/>
              </w:rPr>
              <w:t xml:space="preserve">przyczyni się </w:t>
            </w:r>
            <w:r w:rsidRPr="002269DF">
              <w:rPr>
                <w:rFonts w:ascii="Times New Roman" w:hAnsi="Times New Roman"/>
              </w:rPr>
              <w:lastRenderedPageBreak/>
              <w:t>do</w:t>
            </w:r>
            <w:r w:rsidR="009060D1">
              <w:rPr>
                <w:rFonts w:ascii="Times New Roman" w:hAnsi="Times New Roman"/>
              </w:rPr>
              <w:t> </w:t>
            </w:r>
            <w:r w:rsidRPr="002269DF">
              <w:rPr>
                <w:rFonts w:ascii="Times New Roman" w:hAnsi="Times New Roman"/>
              </w:rPr>
              <w:t>znaczącego zmniejszenie obciążeń administracyjnych dla przedsiębiorców - proponuje się wprowadzenie fakultatywności organów w żądaniu takiego tłumaczenia</w:t>
            </w:r>
            <w:r w:rsidR="005C4125" w:rsidRPr="002269DF">
              <w:rPr>
                <w:rFonts w:ascii="Times New Roman" w:hAnsi="Times New Roman"/>
              </w:rPr>
              <w:t>.</w:t>
            </w:r>
          </w:p>
          <w:p w14:paraId="1D52F1E2" w14:textId="58837CD6" w:rsidR="004F04B8" w:rsidRPr="002269DF" w:rsidRDefault="00144E0F" w:rsidP="00495D6D">
            <w:pPr>
              <w:autoSpaceDE w:val="0"/>
              <w:autoSpaceDN w:val="0"/>
              <w:adjustRightInd w:val="0"/>
              <w:spacing w:line="240" w:lineRule="auto"/>
              <w:rPr>
                <w:rFonts w:ascii="Times New Roman" w:hAnsi="Times New Roman"/>
              </w:rPr>
            </w:pPr>
            <w:r w:rsidRPr="002269DF">
              <w:rPr>
                <w:rFonts w:ascii="Times New Roman" w:hAnsi="Times New Roman"/>
              </w:rPr>
              <w:t xml:space="preserve">Wyłączenie obowiązku </w:t>
            </w:r>
            <w:r w:rsidR="005C4125" w:rsidRPr="002269DF">
              <w:rPr>
                <w:rFonts w:ascii="Times New Roman" w:hAnsi="Times New Roman"/>
              </w:rPr>
              <w:t xml:space="preserve">dołączania </w:t>
            </w:r>
            <w:r w:rsidRPr="002269DF">
              <w:rPr>
                <w:rFonts w:ascii="Times New Roman" w:hAnsi="Times New Roman"/>
              </w:rPr>
              <w:t>do</w:t>
            </w:r>
            <w:r w:rsidR="009060D1">
              <w:rPr>
                <w:rFonts w:ascii="Times New Roman" w:hAnsi="Times New Roman"/>
              </w:rPr>
              <w:t> </w:t>
            </w:r>
            <w:r w:rsidRPr="002269DF">
              <w:rPr>
                <w:rFonts w:ascii="Times New Roman" w:hAnsi="Times New Roman"/>
              </w:rPr>
              <w:t>każd</w:t>
            </w:r>
            <w:r w:rsidR="005C4125" w:rsidRPr="002269DF">
              <w:rPr>
                <w:rFonts w:ascii="Times New Roman" w:hAnsi="Times New Roman"/>
              </w:rPr>
              <w:t>ego</w:t>
            </w:r>
            <w:r w:rsidRPr="002269DF">
              <w:rPr>
                <w:rFonts w:ascii="Times New Roman" w:hAnsi="Times New Roman"/>
              </w:rPr>
              <w:t xml:space="preserve"> wniosk</w:t>
            </w:r>
            <w:r w:rsidR="005C4125" w:rsidRPr="002269DF">
              <w:rPr>
                <w:rFonts w:ascii="Times New Roman" w:hAnsi="Times New Roman"/>
              </w:rPr>
              <w:t>u</w:t>
            </w:r>
            <w:r w:rsidRPr="002269DF">
              <w:rPr>
                <w:rFonts w:ascii="Times New Roman" w:hAnsi="Times New Roman"/>
              </w:rPr>
              <w:t xml:space="preserve"> dokumentu pełnomocnictwa</w:t>
            </w:r>
            <w:r w:rsidR="003B6520" w:rsidRPr="002269DF">
              <w:rPr>
                <w:rFonts w:ascii="Times New Roman" w:hAnsi="Times New Roman"/>
              </w:rPr>
              <w:t xml:space="preserve"> spowoduje znaczące obniżenie obciążeń finansowych i administracyjnych.</w:t>
            </w:r>
          </w:p>
          <w:p w14:paraId="12161CEF" w14:textId="77777777" w:rsidR="004F04B8" w:rsidRPr="002269DF" w:rsidRDefault="004F04B8" w:rsidP="00495D6D">
            <w:pPr>
              <w:spacing w:line="240" w:lineRule="auto"/>
              <w:rPr>
                <w:rFonts w:ascii="Times New Roman" w:hAnsi="Times New Roman"/>
              </w:rPr>
            </w:pPr>
          </w:p>
          <w:p w14:paraId="7560BF48" w14:textId="77777777" w:rsidR="004F04B8" w:rsidRPr="002269DF" w:rsidRDefault="004F04B8" w:rsidP="00495D6D">
            <w:pPr>
              <w:spacing w:line="240" w:lineRule="auto"/>
              <w:rPr>
                <w:rFonts w:ascii="Times New Roman" w:hAnsi="Times New Roman"/>
              </w:rPr>
            </w:pPr>
            <w:r w:rsidRPr="002269DF">
              <w:rPr>
                <w:rFonts w:ascii="Times New Roman" w:hAnsi="Times New Roman"/>
              </w:rPr>
              <w:t>Zwiększenie katalogu</w:t>
            </w:r>
          </w:p>
          <w:p w14:paraId="1B9731C8" w14:textId="77777777" w:rsidR="004F04B8" w:rsidRPr="002269DF" w:rsidRDefault="004F04B8" w:rsidP="00495D6D">
            <w:pPr>
              <w:spacing w:line="240" w:lineRule="auto"/>
              <w:rPr>
                <w:rFonts w:ascii="Times New Roman" w:hAnsi="Times New Roman"/>
              </w:rPr>
            </w:pPr>
            <w:r w:rsidRPr="002269DF">
              <w:rPr>
                <w:rFonts w:ascii="Times New Roman" w:hAnsi="Times New Roman"/>
              </w:rPr>
              <w:t>jednostek małych</w:t>
            </w:r>
          </w:p>
          <w:p w14:paraId="125D8C9E" w14:textId="5DC9B305" w:rsidR="004F04B8" w:rsidRPr="002269DF" w:rsidRDefault="004F04B8" w:rsidP="00495D6D">
            <w:pPr>
              <w:spacing w:line="240" w:lineRule="auto"/>
              <w:rPr>
                <w:rFonts w:ascii="Times New Roman" w:hAnsi="Times New Roman"/>
              </w:rPr>
            </w:pPr>
            <w:r w:rsidRPr="002269DF">
              <w:rPr>
                <w:rFonts w:ascii="Times New Roman" w:hAnsi="Times New Roman"/>
              </w:rPr>
              <w:t>uprawnionych do</w:t>
            </w:r>
            <w:r w:rsidR="009060D1">
              <w:rPr>
                <w:rFonts w:ascii="Times New Roman" w:hAnsi="Times New Roman"/>
              </w:rPr>
              <w:t> </w:t>
            </w:r>
          </w:p>
          <w:p w14:paraId="29E83D66" w14:textId="77777777" w:rsidR="004F04B8" w:rsidRPr="002269DF" w:rsidRDefault="004F04B8" w:rsidP="00495D6D">
            <w:pPr>
              <w:spacing w:line="240" w:lineRule="auto"/>
              <w:rPr>
                <w:rFonts w:ascii="Times New Roman" w:hAnsi="Times New Roman"/>
              </w:rPr>
            </w:pPr>
            <w:r w:rsidRPr="002269DF">
              <w:rPr>
                <w:rFonts w:ascii="Times New Roman" w:hAnsi="Times New Roman"/>
              </w:rPr>
              <w:t>stosowania uproszczeń</w:t>
            </w:r>
          </w:p>
          <w:p w14:paraId="4D884E24" w14:textId="77777777" w:rsidR="004F04B8" w:rsidRPr="002269DF" w:rsidRDefault="004F04B8" w:rsidP="00495D6D">
            <w:pPr>
              <w:spacing w:line="240" w:lineRule="auto"/>
              <w:rPr>
                <w:rFonts w:ascii="Times New Roman" w:hAnsi="Times New Roman"/>
              </w:rPr>
            </w:pPr>
            <w:r w:rsidRPr="002269DF">
              <w:rPr>
                <w:rFonts w:ascii="Times New Roman" w:hAnsi="Times New Roman"/>
              </w:rPr>
              <w:t>w sprawozdawczości</w:t>
            </w:r>
          </w:p>
          <w:p w14:paraId="012A9DFD" w14:textId="77777777" w:rsidR="004F04B8" w:rsidRPr="002269DF" w:rsidRDefault="004F04B8" w:rsidP="00495D6D">
            <w:pPr>
              <w:spacing w:line="240" w:lineRule="auto"/>
              <w:rPr>
                <w:rFonts w:ascii="Times New Roman" w:hAnsi="Times New Roman"/>
              </w:rPr>
            </w:pPr>
            <w:r w:rsidRPr="002269DF">
              <w:rPr>
                <w:rFonts w:ascii="Times New Roman" w:hAnsi="Times New Roman"/>
              </w:rPr>
              <w:t>finansowej</w:t>
            </w:r>
          </w:p>
          <w:p w14:paraId="5AFB9D65" w14:textId="77777777" w:rsidR="004F04B8" w:rsidRPr="002269DF" w:rsidRDefault="004F04B8" w:rsidP="00495D6D">
            <w:pPr>
              <w:spacing w:line="240" w:lineRule="auto"/>
              <w:rPr>
                <w:rFonts w:ascii="Times New Roman" w:hAnsi="Times New Roman"/>
              </w:rPr>
            </w:pPr>
          </w:p>
          <w:p w14:paraId="01D20529" w14:textId="77777777" w:rsidR="004F04B8" w:rsidRPr="002269DF" w:rsidRDefault="004F04B8" w:rsidP="00495D6D">
            <w:pPr>
              <w:spacing w:line="240" w:lineRule="auto"/>
              <w:rPr>
                <w:rFonts w:ascii="Times New Roman" w:hAnsi="Times New Roman"/>
              </w:rPr>
            </w:pPr>
            <w:r w:rsidRPr="002269DF">
              <w:rPr>
                <w:rFonts w:ascii="Times New Roman" w:hAnsi="Times New Roman"/>
              </w:rPr>
              <w:t>Poszerzenie katalogu</w:t>
            </w:r>
          </w:p>
          <w:p w14:paraId="711CB030" w14:textId="77777777" w:rsidR="004F04B8" w:rsidRPr="002269DF" w:rsidRDefault="004F04B8" w:rsidP="00495D6D">
            <w:pPr>
              <w:spacing w:line="240" w:lineRule="auto"/>
              <w:rPr>
                <w:rFonts w:ascii="Times New Roman" w:hAnsi="Times New Roman"/>
              </w:rPr>
            </w:pPr>
            <w:r w:rsidRPr="002269DF">
              <w:rPr>
                <w:rFonts w:ascii="Times New Roman" w:hAnsi="Times New Roman"/>
              </w:rPr>
              <w:t>jednostek korzystających z</w:t>
            </w:r>
            <w:r w:rsidR="00852DFF" w:rsidRPr="002269DF">
              <w:rPr>
                <w:rFonts w:ascii="Times New Roman" w:hAnsi="Times New Roman"/>
              </w:rPr>
              <w:t> </w:t>
            </w:r>
            <w:r w:rsidRPr="002269DF">
              <w:rPr>
                <w:rFonts w:ascii="Times New Roman" w:hAnsi="Times New Roman"/>
              </w:rPr>
              <w:t>uproszczeń w</w:t>
            </w:r>
            <w:r w:rsidR="00852DFF" w:rsidRPr="002269DF">
              <w:rPr>
                <w:rFonts w:ascii="Times New Roman" w:hAnsi="Times New Roman"/>
              </w:rPr>
              <w:t> </w:t>
            </w:r>
            <w:r w:rsidRPr="002269DF">
              <w:rPr>
                <w:rFonts w:ascii="Times New Roman" w:hAnsi="Times New Roman"/>
              </w:rPr>
              <w:t>ewidencji</w:t>
            </w:r>
          </w:p>
          <w:p w14:paraId="74A0076A" w14:textId="77777777" w:rsidR="004F04B8" w:rsidRPr="002269DF" w:rsidRDefault="004F04B8" w:rsidP="00495D6D">
            <w:pPr>
              <w:spacing w:line="240" w:lineRule="auto"/>
              <w:rPr>
                <w:rFonts w:ascii="Times New Roman" w:hAnsi="Times New Roman"/>
              </w:rPr>
            </w:pPr>
            <w:r w:rsidRPr="002269DF">
              <w:rPr>
                <w:rFonts w:ascii="Times New Roman" w:hAnsi="Times New Roman"/>
              </w:rPr>
              <w:t>księgowej w</w:t>
            </w:r>
            <w:r w:rsidR="00852DFF" w:rsidRPr="002269DF">
              <w:rPr>
                <w:rFonts w:ascii="Times New Roman" w:hAnsi="Times New Roman"/>
              </w:rPr>
              <w:t> </w:t>
            </w:r>
            <w:r w:rsidRPr="002269DF">
              <w:rPr>
                <w:rFonts w:ascii="Times New Roman" w:hAnsi="Times New Roman"/>
              </w:rPr>
              <w:t>zakresie:</w:t>
            </w:r>
          </w:p>
          <w:p w14:paraId="3A496685" w14:textId="77777777" w:rsidR="004F04B8" w:rsidRPr="002269DF" w:rsidRDefault="004F04B8" w:rsidP="00495D6D">
            <w:pPr>
              <w:spacing w:line="240" w:lineRule="auto"/>
              <w:rPr>
                <w:rFonts w:ascii="Times New Roman" w:hAnsi="Times New Roman"/>
              </w:rPr>
            </w:pPr>
            <w:r w:rsidRPr="002269DF">
              <w:rPr>
                <w:rFonts w:ascii="Times New Roman" w:hAnsi="Times New Roman"/>
              </w:rPr>
              <w:t>leasingu, odroczonego</w:t>
            </w:r>
          </w:p>
          <w:p w14:paraId="2CEEBD48" w14:textId="77777777" w:rsidR="004F04B8" w:rsidRPr="002269DF" w:rsidRDefault="004F04B8" w:rsidP="00495D6D">
            <w:pPr>
              <w:spacing w:line="240" w:lineRule="auto"/>
              <w:rPr>
                <w:rFonts w:ascii="Times New Roman" w:hAnsi="Times New Roman"/>
              </w:rPr>
            </w:pPr>
            <w:r w:rsidRPr="002269DF">
              <w:rPr>
                <w:rFonts w:ascii="Times New Roman" w:hAnsi="Times New Roman"/>
              </w:rPr>
              <w:t>podatku dochodowego,</w:t>
            </w:r>
          </w:p>
          <w:p w14:paraId="5DE03923" w14:textId="77777777" w:rsidR="004F04B8" w:rsidRPr="002269DF" w:rsidRDefault="004F04B8" w:rsidP="00495D6D">
            <w:pPr>
              <w:spacing w:line="240" w:lineRule="auto"/>
              <w:rPr>
                <w:rFonts w:ascii="Times New Roman" w:hAnsi="Times New Roman"/>
              </w:rPr>
            </w:pPr>
            <w:r w:rsidRPr="002269DF">
              <w:rPr>
                <w:rFonts w:ascii="Times New Roman" w:hAnsi="Times New Roman"/>
              </w:rPr>
              <w:t>kalkulacji kosztu</w:t>
            </w:r>
          </w:p>
          <w:p w14:paraId="7DFCE694" w14:textId="77777777" w:rsidR="004F04B8" w:rsidRPr="002269DF" w:rsidRDefault="004F04B8" w:rsidP="00495D6D">
            <w:pPr>
              <w:spacing w:line="240" w:lineRule="auto"/>
              <w:rPr>
                <w:rFonts w:ascii="Times New Roman" w:hAnsi="Times New Roman"/>
              </w:rPr>
            </w:pPr>
            <w:r w:rsidRPr="002269DF">
              <w:rPr>
                <w:rFonts w:ascii="Times New Roman" w:hAnsi="Times New Roman"/>
              </w:rPr>
              <w:t>wytworzenia produktu,</w:t>
            </w:r>
          </w:p>
          <w:p w14:paraId="6A26A710" w14:textId="77777777" w:rsidR="004F04B8" w:rsidRPr="002269DF" w:rsidRDefault="004F04B8" w:rsidP="00495D6D">
            <w:pPr>
              <w:spacing w:line="240" w:lineRule="auto"/>
              <w:rPr>
                <w:rFonts w:ascii="Times New Roman" w:hAnsi="Times New Roman"/>
              </w:rPr>
            </w:pPr>
            <w:r w:rsidRPr="002269DF">
              <w:rPr>
                <w:rFonts w:ascii="Times New Roman" w:hAnsi="Times New Roman"/>
              </w:rPr>
              <w:t>niestosowania</w:t>
            </w:r>
          </w:p>
          <w:p w14:paraId="67E3EED8" w14:textId="77777777" w:rsidR="004F04B8" w:rsidRPr="002269DF" w:rsidRDefault="004F04B8" w:rsidP="00495D6D">
            <w:pPr>
              <w:spacing w:line="240" w:lineRule="auto"/>
              <w:rPr>
                <w:rFonts w:ascii="Times New Roman" w:hAnsi="Times New Roman"/>
              </w:rPr>
            </w:pPr>
            <w:r w:rsidRPr="002269DF">
              <w:rPr>
                <w:rFonts w:ascii="Times New Roman" w:hAnsi="Times New Roman"/>
              </w:rPr>
              <w:t xml:space="preserve">rozporządzenia MF </w:t>
            </w:r>
            <w:proofErr w:type="spellStart"/>
            <w:r w:rsidRPr="002269DF">
              <w:rPr>
                <w:rFonts w:ascii="Times New Roman" w:hAnsi="Times New Roman"/>
              </w:rPr>
              <w:t>ws</w:t>
            </w:r>
            <w:proofErr w:type="spellEnd"/>
            <w:r w:rsidRPr="002269DF">
              <w:rPr>
                <w:rFonts w:ascii="Times New Roman" w:hAnsi="Times New Roman"/>
              </w:rPr>
              <w:t>.</w:t>
            </w:r>
          </w:p>
          <w:p w14:paraId="2E4ED319" w14:textId="77777777" w:rsidR="00834C8C" w:rsidRPr="002269DF" w:rsidRDefault="004F04B8" w:rsidP="00495D6D">
            <w:pPr>
              <w:spacing w:line="240" w:lineRule="auto"/>
              <w:rPr>
                <w:rFonts w:ascii="Times New Roman" w:hAnsi="Times New Roman"/>
              </w:rPr>
            </w:pPr>
            <w:r w:rsidRPr="002269DF">
              <w:rPr>
                <w:rFonts w:ascii="Times New Roman" w:hAnsi="Times New Roman"/>
              </w:rPr>
              <w:t>instrumentów finansowych</w:t>
            </w:r>
          </w:p>
          <w:p w14:paraId="21053EE0" w14:textId="77777777" w:rsidR="003B6520" w:rsidRPr="002269DF" w:rsidRDefault="003B6520" w:rsidP="00495D6D">
            <w:pPr>
              <w:spacing w:line="240" w:lineRule="auto"/>
              <w:rPr>
                <w:rFonts w:ascii="Times New Roman" w:hAnsi="Times New Roman"/>
              </w:rPr>
            </w:pPr>
          </w:p>
          <w:p w14:paraId="6149D437" w14:textId="77777777" w:rsidR="004F04B8" w:rsidRPr="002269DF" w:rsidRDefault="004F04B8" w:rsidP="00495D6D">
            <w:pPr>
              <w:spacing w:line="240" w:lineRule="auto"/>
              <w:rPr>
                <w:rFonts w:ascii="Times New Roman" w:hAnsi="Times New Roman"/>
              </w:rPr>
            </w:pPr>
            <w:r w:rsidRPr="002269DF">
              <w:rPr>
                <w:rFonts w:ascii="Times New Roman" w:hAnsi="Times New Roman"/>
              </w:rPr>
              <w:t>Rozszerzenie uproszczeń w</w:t>
            </w:r>
            <w:r w:rsidR="00852DFF" w:rsidRPr="002269DF">
              <w:rPr>
                <w:rFonts w:ascii="Times New Roman" w:hAnsi="Times New Roman"/>
              </w:rPr>
              <w:t> </w:t>
            </w:r>
            <w:r w:rsidRPr="002269DF">
              <w:rPr>
                <w:rFonts w:ascii="Times New Roman" w:hAnsi="Times New Roman"/>
              </w:rPr>
              <w:t>sprawozdawczości</w:t>
            </w:r>
          </w:p>
          <w:p w14:paraId="685F2EB3" w14:textId="0D0941F1" w:rsidR="004F04B8" w:rsidRPr="002269DF" w:rsidRDefault="004F04B8" w:rsidP="00495D6D">
            <w:pPr>
              <w:spacing w:line="240" w:lineRule="auto"/>
              <w:rPr>
                <w:rFonts w:ascii="Times New Roman" w:hAnsi="Times New Roman"/>
              </w:rPr>
            </w:pPr>
            <w:r w:rsidRPr="002269DF">
              <w:rPr>
                <w:rFonts w:ascii="Times New Roman" w:hAnsi="Times New Roman"/>
              </w:rPr>
              <w:t>finansowej dla</w:t>
            </w:r>
            <w:r w:rsidR="009060D1">
              <w:rPr>
                <w:rFonts w:ascii="Times New Roman" w:hAnsi="Times New Roman"/>
              </w:rPr>
              <w:t> </w:t>
            </w:r>
            <w:r w:rsidRPr="002269DF">
              <w:rPr>
                <w:rFonts w:ascii="Times New Roman" w:hAnsi="Times New Roman"/>
              </w:rPr>
              <w:t>jednostek</w:t>
            </w:r>
          </w:p>
          <w:p w14:paraId="268F785F" w14:textId="77777777" w:rsidR="004F04B8" w:rsidRPr="002269DF" w:rsidRDefault="004F04B8" w:rsidP="00495D6D">
            <w:pPr>
              <w:spacing w:line="240" w:lineRule="auto"/>
              <w:rPr>
                <w:rFonts w:ascii="Times New Roman" w:hAnsi="Times New Roman"/>
              </w:rPr>
            </w:pPr>
            <w:r w:rsidRPr="002269DF">
              <w:rPr>
                <w:rFonts w:ascii="Times New Roman" w:hAnsi="Times New Roman"/>
              </w:rPr>
              <w:t>mikro na większą liczbę</w:t>
            </w:r>
          </w:p>
          <w:p w14:paraId="6909AB34" w14:textId="77777777" w:rsidR="004F04B8" w:rsidRPr="002269DF" w:rsidRDefault="004F04B8" w:rsidP="00495D6D">
            <w:pPr>
              <w:spacing w:line="240" w:lineRule="auto"/>
              <w:rPr>
                <w:rFonts w:ascii="Times New Roman" w:hAnsi="Times New Roman"/>
              </w:rPr>
            </w:pPr>
            <w:r w:rsidRPr="002269DF">
              <w:rPr>
                <w:rFonts w:ascii="Times New Roman" w:hAnsi="Times New Roman"/>
              </w:rPr>
              <w:t>podmiotów</w:t>
            </w:r>
          </w:p>
          <w:p w14:paraId="32F9C9CD" w14:textId="77777777" w:rsidR="004F04B8" w:rsidRPr="002269DF" w:rsidRDefault="004F04B8" w:rsidP="00495D6D">
            <w:pPr>
              <w:spacing w:line="240" w:lineRule="auto"/>
              <w:rPr>
                <w:rFonts w:ascii="Times New Roman" w:hAnsi="Times New Roman"/>
              </w:rPr>
            </w:pPr>
          </w:p>
          <w:p w14:paraId="33BF8422" w14:textId="77777777" w:rsidR="004F04B8" w:rsidRPr="002269DF" w:rsidRDefault="004F04B8" w:rsidP="00495D6D">
            <w:pPr>
              <w:spacing w:line="240" w:lineRule="auto"/>
              <w:rPr>
                <w:rFonts w:ascii="Times New Roman" w:hAnsi="Times New Roman"/>
              </w:rPr>
            </w:pPr>
            <w:r w:rsidRPr="002269DF">
              <w:rPr>
                <w:rFonts w:ascii="Times New Roman" w:hAnsi="Times New Roman"/>
              </w:rPr>
              <w:t>Wprowadzenie możliwości</w:t>
            </w:r>
          </w:p>
          <w:p w14:paraId="553CCAD7" w14:textId="77777777" w:rsidR="004F04B8" w:rsidRPr="002269DF" w:rsidRDefault="004F04B8" w:rsidP="00495D6D">
            <w:pPr>
              <w:spacing w:line="240" w:lineRule="auto"/>
              <w:rPr>
                <w:rFonts w:ascii="Times New Roman" w:hAnsi="Times New Roman"/>
              </w:rPr>
            </w:pPr>
            <w:r w:rsidRPr="002269DF">
              <w:rPr>
                <w:rFonts w:ascii="Times New Roman" w:hAnsi="Times New Roman"/>
              </w:rPr>
              <w:t>stosowania nowych</w:t>
            </w:r>
          </w:p>
          <w:p w14:paraId="183E86AE" w14:textId="77777777" w:rsidR="004F04B8" w:rsidRPr="002269DF" w:rsidRDefault="004F04B8" w:rsidP="00495D6D">
            <w:pPr>
              <w:spacing w:line="240" w:lineRule="auto"/>
              <w:rPr>
                <w:rFonts w:ascii="Times New Roman" w:hAnsi="Times New Roman"/>
              </w:rPr>
            </w:pPr>
            <w:r w:rsidRPr="002269DF">
              <w:rPr>
                <w:rFonts w:ascii="Times New Roman" w:hAnsi="Times New Roman"/>
              </w:rPr>
              <w:lastRenderedPageBreak/>
              <w:t>uproszczeń w</w:t>
            </w:r>
            <w:r w:rsidR="00852DFF" w:rsidRPr="002269DF">
              <w:rPr>
                <w:rFonts w:ascii="Times New Roman" w:hAnsi="Times New Roman"/>
              </w:rPr>
              <w:t> </w:t>
            </w:r>
            <w:r w:rsidRPr="002269DF">
              <w:rPr>
                <w:rFonts w:ascii="Times New Roman" w:hAnsi="Times New Roman"/>
              </w:rPr>
              <w:t>zakresie</w:t>
            </w:r>
          </w:p>
          <w:p w14:paraId="31C17C41" w14:textId="77777777" w:rsidR="004F04B8" w:rsidRPr="002269DF" w:rsidRDefault="004F04B8" w:rsidP="00495D6D">
            <w:pPr>
              <w:spacing w:line="240" w:lineRule="auto"/>
              <w:rPr>
                <w:rFonts w:ascii="Times New Roman" w:hAnsi="Times New Roman"/>
              </w:rPr>
            </w:pPr>
            <w:r w:rsidRPr="002269DF">
              <w:rPr>
                <w:rFonts w:ascii="Times New Roman" w:hAnsi="Times New Roman"/>
              </w:rPr>
              <w:t>prowadzenia ksiąg</w:t>
            </w:r>
          </w:p>
          <w:p w14:paraId="66C8A88C" w14:textId="77777777" w:rsidR="004F04B8" w:rsidRPr="002269DF" w:rsidRDefault="004F04B8" w:rsidP="00495D6D">
            <w:pPr>
              <w:spacing w:line="240" w:lineRule="auto"/>
              <w:rPr>
                <w:rFonts w:ascii="Times New Roman" w:hAnsi="Times New Roman"/>
              </w:rPr>
            </w:pPr>
            <w:r w:rsidRPr="002269DF">
              <w:rPr>
                <w:rFonts w:ascii="Times New Roman" w:hAnsi="Times New Roman"/>
              </w:rPr>
              <w:t>rachunkowych zbliżających</w:t>
            </w:r>
          </w:p>
          <w:p w14:paraId="3AF6E205" w14:textId="752087DF" w:rsidR="004F04B8" w:rsidRPr="002269DF" w:rsidRDefault="004F04B8" w:rsidP="00495D6D">
            <w:pPr>
              <w:spacing w:line="240" w:lineRule="auto"/>
              <w:rPr>
                <w:rFonts w:ascii="Times New Roman" w:hAnsi="Times New Roman"/>
              </w:rPr>
            </w:pPr>
            <w:r w:rsidRPr="002269DF">
              <w:rPr>
                <w:rFonts w:ascii="Times New Roman" w:hAnsi="Times New Roman"/>
              </w:rPr>
              <w:t>rachunkowość do</w:t>
            </w:r>
            <w:r w:rsidR="009060D1">
              <w:rPr>
                <w:rFonts w:ascii="Times New Roman" w:hAnsi="Times New Roman"/>
              </w:rPr>
              <w:t> </w:t>
            </w:r>
            <w:r w:rsidRPr="002269DF">
              <w:rPr>
                <w:rFonts w:ascii="Times New Roman" w:hAnsi="Times New Roman"/>
              </w:rPr>
              <w:t>prawa podatkowego m.in. w</w:t>
            </w:r>
            <w:r w:rsidR="009060D1">
              <w:rPr>
                <w:rFonts w:ascii="Times New Roman" w:hAnsi="Times New Roman"/>
              </w:rPr>
              <w:t> </w:t>
            </w:r>
            <w:r w:rsidRPr="002269DF">
              <w:rPr>
                <w:rFonts w:ascii="Times New Roman" w:hAnsi="Times New Roman"/>
              </w:rPr>
              <w:t>zakresie amortyzacji</w:t>
            </w:r>
          </w:p>
          <w:p w14:paraId="2C49A785" w14:textId="77777777" w:rsidR="004F04B8" w:rsidRPr="002269DF" w:rsidRDefault="004F04B8" w:rsidP="00495D6D">
            <w:pPr>
              <w:spacing w:line="240" w:lineRule="auto"/>
              <w:rPr>
                <w:rFonts w:ascii="Times New Roman" w:hAnsi="Times New Roman"/>
              </w:rPr>
            </w:pPr>
            <w:r w:rsidRPr="002269DF">
              <w:rPr>
                <w:rFonts w:ascii="Times New Roman" w:hAnsi="Times New Roman"/>
              </w:rPr>
              <w:t>środków trwałych oraz wartości niematerialnych</w:t>
            </w:r>
          </w:p>
          <w:p w14:paraId="20AC5AA8" w14:textId="77777777" w:rsidR="004F04B8" w:rsidRPr="002269DF" w:rsidRDefault="004F04B8" w:rsidP="00495D6D">
            <w:pPr>
              <w:spacing w:line="240" w:lineRule="auto"/>
              <w:rPr>
                <w:rFonts w:ascii="Times New Roman" w:hAnsi="Times New Roman"/>
              </w:rPr>
            </w:pPr>
            <w:r w:rsidRPr="002269DF">
              <w:rPr>
                <w:rFonts w:ascii="Times New Roman" w:hAnsi="Times New Roman"/>
              </w:rPr>
              <w:t>i prawnych</w:t>
            </w:r>
          </w:p>
          <w:p w14:paraId="0F1EA17F" w14:textId="77777777" w:rsidR="004F04B8" w:rsidRPr="002269DF" w:rsidRDefault="004F04B8" w:rsidP="00495D6D">
            <w:pPr>
              <w:spacing w:line="240" w:lineRule="auto"/>
              <w:rPr>
                <w:rFonts w:ascii="Times New Roman" w:hAnsi="Times New Roman"/>
              </w:rPr>
            </w:pPr>
          </w:p>
          <w:p w14:paraId="25263D09" w14:textId="77777777" w:rsidR="004F04B8" w:rsidRPr="002269DF" w:rsidRDefault="004F04B8" w:rsidP="00495D6D">
            <w:pPr>
              <w:spacing w:line="240" w:lineRule="auto"/>
              <w:rPr>
                <w:rFonts w:ascii="Times New Roman" w:hAnsi="Times New Roman"/>
              </w:rPr>
            </w:pPr>
            <w:r w:rsidRPr="002269DF">
              <w:rPr>
                <w:rFonts w:ascii="Times New Roman" w:hAnsi="Times New Roman"/>
              </w:rPr>
              <w:t>Skrócenie okresu</w:t>
            </w:r>
          </w:p>
          <w:p w14:paraId="47004914" w14:textId="77777777" w:rsidR="004F04B8" w:rsidRPr="002269DF" w:rsidRDefault="004F04B8" w:rsidP="00495D6D">
            <w:pPr>
              <w:spacing w:line="240" w:lineRule="auto"/>
              <w:rPr>
                <w:rFonts w:ascii="Times New Roman" w:hAnsi="Times New Roman"/>
              </w:rPr>
            </w:pPr>
            <w:r w:rsidRPr="002269DF">
              <w:rPr>
                <w:rFonts w:ascii="Times New Roman" w:hAnsi="Times New Roman"/>
              </w:rPr>
              <w:t>obowiązkowego</w:t>
            </w:r>
          </w:p>
          <w:p w14:paraId="710050B1" w14:textId="77777777" w:rsidR="004F04B8" w:rsidRPr="002269DF" w:rsidRDefault="004F04B8" w:rsidP="00495D6D">
            <w:pPr>
              <w:spacing w:line="240" w:lineRule="auto"/>
              <w:rPr>
                <w:rFonts w:ascii="Times New Roman" w:hAnsi="Times New Roman"/>
              </w:rPr>
            </w:pPr>
            <w:r w:rsidRPr="002269DF">
              <w:rPr>
                <w:rFonts w:ascii="Times New Roman" w:hAnsi="Times New Roman"/>
              </w:rPr>
              <w:t>przechowywania</w:t>
            </w:r>
          </w:p>
          <w:p w14:paraId="34247AA1" w14:textId="77777777" w:rsidR="004F04B8" w:rsidRPr="002269DF" w:rsidRDefault="004F04B8" w:rsidP="00495D6D">
            <w:pPr>
              <w:spacing w:line="240" w:lineRule="auto"/>
              <w:rPr>
                <w:rFonts w:ascii="Times New Roman" w:hAnsi="Times New Roman"/>
              </w:rPr>
            </w:pPr>
            <w:r w:rsidRPr="002269DF">
              <w:rPr>
                <w:rFonts w:ascii="Times New Roman" w:hAnsi="Times New Roman"/>
              </w:rPr>
              <w:t>zatwierdzonych rocznych sprawozdań finansowych z</w:t>
            </w:r>
            <w:r w:rsidR="00852DFF" w:rsidRPr="002269DF">
              <w:rPr>
                <w:rFonts w:ascii="Times New Roman" w:hAnsi="Times New Roman"/>
              </w:rPr>
              <w:t> </w:t>
            </w:r>
            <w:r w:rsidRPr="002269DF">
              <w:rPr>
                <w:rFonts w:ascii="Times New Roman" w:hAnsi="Times New Roman"/>
              </w:rPr>
              <w:t>trwałego (bezterminowego)</w:t>
            </w:r>
          </w:p>
          <w:p w14:paraId="768154B7" w14:textId="77777777" w:rsidR="004F04B8" w:rsidRPr="002269DF" w:rsidRDefault="004F04B8" w:rsidP="00495D6D">
            <w:pPr>
              <w:spacing w:line="240" w:lineRule="auto"/>
              <w:rPr>
                <w:rFonts w:ascii="Times New Roman" w:hAnsi="Times New Roman"/>
              </w:rPr>
            </w:pPr>
            <w:r w:rsidRPr="002269DF">
              <w:rPr>
                <w:rFonts w:ascii="Times New Roman" w:hAnsi="Times New Roman"/>
              </w:rPr>
              <w:t>do 5 lat.</w:t>
            </w:r>
          </w:p>
        </w:tc>
      </w:tr>
      <w:tr w:rsidR="00DE7F4E" w:rsidRPr="002269DF" w14:paraId="4A745C5B" w14:textId="77777777" w:rsidTr="00834C8C">
        <w:trPr>
          <w:gridAfter w:val="1"/>
          <w:wAfter w:w="10" w:type="dxa"/>
          <w:trHeight w:val="1834"/>
        </w:trPr>
        <w:tc>
          <w:tcPr>
            <w:tcW w:w="1844" w:type="dxa"/>
            <w:gridSpan w:val="2"/>
            <w:shd w:val="clear" w:color="auto" w:fill="auto"/>
          </w:tcPr>
          <w:p w14:paraId="2C2DD2BC" w14:textId="77777777" w:rsidR="00DE7F4E" w:rsidRPr="002269DF" w:rsidRDefault="00DE7F4E" w:rsidP="00836EBC">
            <w:pPr>
              <w:spacing w:line="240" w:lineRule="auto"/>
              <w:rPr>
                <w:rFonts w:ascii="Times New Roman" w:hAnsi="Times New Roman"/>
                <w:color w:val="000000"/>
                <w:lang w:eastAsia="pl-PL"/>
              </w:rPr>
            </w:pPr>
            <w:r w:rsidRPr="002269DF">
              <w:rPr>
                <w:rFonts w:ascii="Times New Roman" w:hAnsi="Times New Roman"/>
                <w:color w:val="000000"/>
                <w:lang w:eastAsia="pl-PL"/>
              </w:rPr>
              <w:lastRenderedPageBreak/>
              <w:t>Spółki prawa handlowego</w:t>
            </w:r>
          </w:p>
        </w:tc>
        <w:tc>
          <w:tcPr>
            <w:tcW w:w="5244" w:type="dxa"/>
            <w:gridSpan w:val="16"/>
            <w:shd w:val="clear" w:color="auto" w:fill="auto"/>
          </w:tcPr>
          <w:p w14:paraId="74FA2FB0" w14:textId="77777777" w:rsidR="00DE7F4E" w:rsidRPr="002269DF" w:rsidRDefault="008D6ED0"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t>501 056 spółek handlowych, z czego 11</w:t>
            </w:r>
            <w:r w:rsidR="0032610A" w:rsidRPr="002269DF">
              <w:rPr>
                <w:rFonts w:ascii="Times New Roman" w:hAnsi="Times New Roman"/>
                <w:color w:val="000000"/>
                <w:spacing w:val="-2"/>
              </w:rPr>
              <w:t xml:space="preserve"> </w:t>
            </w:r>
            <w:r w:rsidRPr="002269DF">
              <w:rPr>
                <w:rFonts w:ascii="Times New Roman" w:hAnsi="Times New Roman"/>
                <w:color w:val="000000"/>
                <w:spacing w:val="-2"/>
              </w:rPr>
              <w:t xml:space="preserve">769 spółek akcyjnych oraz </w:t>
            </w:r>
            <w:r w:rsidR="004A2BAC" w:rsidRPr="002269DF">
              <w:rPr>
                <w:rFonts w:ascii="Times New Roman" w:hAnsi="Times New Roman"/>
                <w:color w:val="000000"/>
                <w:spacing w:val="-2"/>
              </w:rPr>
              <w:t>420 789 spółek z ograniczoną odpowiedzialnością</w:t>
            </w:r>
          </w:p>
        </w:tc>
        <w:tc>
          <w:tcPr>
            <w:tcW w:w="1701" w:type="dxa"/>
            <w:gridSpan w:val="7"/>
            <w:shd w:val="clear" w:color="auto" w:fill="auto"/>
          </w:tcPr>
          <w:p w14:paraId="3D047863" w14:textId="77777777" w:rsidR="00DE7F4E" w:rsidRPr="002269DF" w:rsidRDefault="008D6ED0"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t>GUS</w:t>
            </w:r>
          </w:p>
        </w:tc>
        <w:tc>
          <w:tcPr>
            <w:tcW w:w="2148" w:type="dxa"/>
            <w:gridSpan w:val="4"/>
            <w:shd w:val="clear" w:color="auto" w:fill="auto"/>
          </w:tcPr>
          <w:p w14:paraId="6F8B34C5" w14:textId="77777777" w:rsidR="00DE7F4E" w:rsidRPr="002269DF" w:rsidRDefault="00DE7F4E" w:rsidP="00495D6D">
            <w:pPr>
              <w:autoSpaceDE w:val="0"/>
              <w:autoSpaceDN w:val="0"/>
              <w:adjustRightInd w:val="0"/>
              <w:spacing w:line="240" w:lineRule="auto"/>
              <w:rPr>
                <w:rFonts w:ascii="Times New Roman" w:hAnsi="Times New Roman"/>
              </w:rPr>
            </w:pPr>
            <w:r w:rsidRPr="002269DF">
              <w:rPr>
                <w:rFonts w:ascii="Times New Roman" w:hAnsi="Times New Roman"/>
              </w:rPr>
              <w:t>Poprawa warunków prowadzenia działalności gospodarczej poprzez jednoznaczne rozstrzygnięcie kontrowersyjnych kwestii z zakresu prawa handlowego</w:t>
            </w:r>
          </w:p>
        </w:tc>
      </w:tr>
      <w:tr w:rsidR="00F9516F" w:rsidRPr="002269DF" w14:paraId="04CA1756" w14:textId="77777777" w:rsidTr="00495D6D">
        <w:trPr>
          <w:gridAfter w:val="1"/>
          <w:wAfter w:w="10" w:type="dxa"/>
          <w:trHeight w:val="2959"/>
        </w:trPr>
        <w:tc>
          <w:tcPr>
            <w:tcW w:w="1844" w:type="dxa"/>
            <w:gridSpan w:val="2"/>
            <w:shd w:val="clear" w:color="auto" w:fill="auto"/>
          </w:tcPr>
          <w:p w14:paraId="6D07F363" w14:textId="77777777" w:rsidR="00F9516F" w:rsidRPr="002269DF" w:rsidRDefault="00F9516F" w:rsidP="00836EBC">
            <w:pPr>
              <w:rPr>
                <w:rFonts w:ascii="Times New Roman" w:hAnsi="Times New Roman"/>
                <w:color w:val="000000"/>
                <w:lang w:eastAsia="pl-PL"/>
              </w:rPr>
            </w:pPr>
            <w:r w:rsidRPr="002269DF">
              <w:rPr>
                <w:rFonts w:ascii="Times New Roman" w:hAnsi="Times New Roman"/>
                <w:color w:val="000000"/>
                <w:lang w:eastAsia="pl-PL"/>
              </w:rPr>
              <w:t>Pracodawcy zatrudniający do 50 pracowników i</w:t>
            </w:r>
            <w:r w:rsidR="00852DFF" w:rsidRPr="002269DF">
              <w:rPr>
                <w:rFonts w:ascii="Times New Roman" w:hAnsi="Times New Roman"/>
                <w:color w:val="000000"/>
                <w:lang w:eastAsia="pl-PL"/>
              </w:rPr>
              <w:t> </w:t>
            </w:r>
            <w:r w:rsidRPr="002269DF">
              <w:rPr>
                <w:rFonts w:ascii="Times New Roman" w:hAnsi="Times New Roman"/>
                <w:color w:val="000000"/>
                <w:lang w:eastAsia="pl-PL"/>
              </w:rPr>
              <w:t>zakwalifikowani do grupy działalności dla której ustalono nie wyższą niż trzecia kategorię ryzyka w</w:t>
            </w:r>
            <w:r w:rsidR="00852DFF" w:rsidRPr="002269DF">
              <w:rPr>
                <w:rFonts w:ascii="Times New Roman" w:hAnsi="Times New Roman"/>
                <w:color w:val="000000"/>
                <w:lang w:eastAsia="pl-PL"/>
              </w:rPr>
              <w:t> </w:t>
            </w:r>
            <w:r w:rsidRPr="002269DF">
              <w:rPr>
                <w:rFonts w:ascii="Times New Roman" w:hAnsi="Times New Roman"/>
                <w:color w:val="000000"/>
                <w:lang w:eastAsia="pl-PL"/>
              </w:rPr>
              <w:t>rozumieniu przepisów  o ZUS</w:t>
            </w:r>
          </w:p>
        </w:tc>
        <w:tc>
          <w:tcPr>
            <w:tcW w:w="5244" w:type="dxa"/>
            <w:gridSpan w:val="16"/>
            <w:shd w:val="clear" w:color="auto" w:fill="auto"/>
          </w:tcPr>
          <w:p w14:paraId="6510FF1E" w14:textId="77777777" w:rsidR="00F9516F" w:rsidRPr="002269DF" w:rsidRDefault="00F9516F" w:rsidP="00CD2155">
            <w:pPr>
              <w:jc w:val="both"/>
              <w:rPr>
                <w:rFonts w:ascii="Times New Roman" w:hAnsi="Times New Roman"/>
                <w:color w:val="000000"/>
                <w:spacing w:val="-2"/>
              </w:rPr>
            </w:pPr>
            <w:r w:rsidRPr="002269DF">
              <w:rPr>
                <w:rFonts w:ascii="Times New Roman" w:hAnsi="Times New Roman"/>
                <w:color w:val="000000"/>
                <w:spacing w:val="-2"/>
              </w:rPr>
              <w:t xml:space="preserve">1083, 6 tys. </w:t>
            </w:r>
          </w:p>
        </w:tc>
        <w:tc>
          <w:tcPr>
            <w:tcW w:w="1701" w:type="dxa"/>
            <w:gridSpan w:val="7"/>
            <w:shd w:val="clear" w:color="auto" w:fill="auto"/>
          </w:tcPr>
          <w:p w14:paraId="5818204D" w14:textId="77777777" w:rsidR="00F9516F" w:rsidRPr="002269DF" w:rsidRDefault="00F9516F" w:rsidP="00CD2155">
            <w:pPr>
              <w:jc w:val="both"/>
              <w:rPr>
                <w:rFonts w:ascii="Times New Roman" w:hAnsi="Times New Roman"/>
                <w:color w:val="000000"/>
                <w:spacing w:val="-2"/>
              </w:rPr>
            </w:pPr>
            <w:r w:rsidRPr="002269DF">
              <w:rPr>
                <w:rFonts w:ascii="Times New Roman" w:hAnsi="Times New Roman"/>
                <w:color w:val="000000"/>
                <w:spacing w:val="-2"/>
              </w:rPr>
              <w:t>ZUS</w:t>
            </w:r>
          </w:p>
        </w:tc>
        <w:tc>
          <w:tcPr>
            <w:tcW w:w="2148" w:type="dxa"/>
            <w:gridSpan w:val="4"/>
            <w:shd w:val="clear" w:color="auto" w:fill="auto"/>
          </w:tcPr>
          <w:p w14:paraId="309C1439" w14:textId="77777777" w:rsidR="00F9516F" w:rsidRPr="002269DF" w:rsidRDefault="00F9516F" w:rsidP="00CD2155">
            <w:pPr>
              <w:autoSpaceDE w:val="0"/>
              <w:autoSpaceDN w:val="0"/>
              <w:adjustRightInd w:val="0"/>
              <w:spacing w:line="240" w:lineRule="auto"/>
              <w:rPr>
                <w:rFonts w:ascii="Times New Roman" w:hAnsi="Times New Roman"/>
                <w:spacing w:val="-2"/>
              </w:rPr>
            </w:pPr>
            <w:r w:rsidRPr="002269DF">
              <w:rPr>
                <w:rFonts w:ascii="Times New Roman" w:hAnsi="Times New Roman"/>
                <w:spacing w:val="-2"/>
              </w:rPr>
              <w:t>Poszerzenie możliwości pełnienia zadań służby BHP przez pracodawcę.</w:t>
            </w:r>
          </w:p>
          <w:p w14:paraId="6EC097E9" w14:textId="77777777" w:rsidR="00F9516F" w:rsidRPr="002269DF" w:rsidRDefault="00F9516F" w:rsidP="00CD2155">
            <w:pPr>
              <w:autoSpaceDE w:val="0"/>
              <w:autoSpaceDN w:val="0"/>
              <w:adjustRightInd w:val="0"/>
              <w:spacing w:line="240" w:lineRule="auto"/>
              <w:rPr>
                <w:rFonts w:ascii="Times New Roman" w:hAnsi="Times New Roman"/>
                <w:spacing w:val="-2"/>
              </w:rPr>
            </w:pPr>
          </w:p>
          <w:p w14:paraId="6D90B13D" w14:textId="77777777" w:rsidR="00F9516F" w:rsidRPr="002269DF" w:rsidRDefault="00F9516F" w:rsidP="00CD2155">
            <w:pPr>
              <w:autoSpaceDE w:val="0"/>
              <w:autoSpaceDN w:val="0"/>
              <w:adjustRightInd w:val="0"/>
              <w:spacing w:line="240" w:lineRule="auto"/>
              <w:rPr>
                <w:rFonts w:ascii="Times New Roman" w:hAnsi="Times New Roman"/>
                <w:spacing w:val="-2"/>
              </w:rPr>
            </w:pPr>
          </w:p>
          <w:p w14:paraId="62EC6B11" w14:textId="77777777" w:rsidR="00F9516F" w:rsidRPr="002269DF" w:rsidRDefault="00F9516F" w:rsidP="00CD2155">
            <w:pPr>
              <w:autoSpaceDE w:val="0"/>
              <w:autoSpaceDN w:val="0"/>
              <w:adjustRightInd w:val="0"/>
              <w:spacing w:line="240" w:lineRule="auto"/>
              <w:rPr>
                <w:rFonts w:ascii="Times New Roman" w:hAnsi="Times New Roman"/>
                <w:spacing w:val="-2"/>
              </w:rPr>
            </w:pPr>
          </w:p>
          <w:p w14:paraId="22D45966" w14:textId="77777777" w:rsidR="00F9516F" w:rsidRPr="002269DF" w:rsidRDefault="00F9516F" w:rsidP="00CD2155">
            <w:pPr>
              <w:autoSpaceDE w:val="0"/>
              <w:autoSpaceDN w:val="0"/>
              <w:adjustRightInd w:val="0"/>
              <w:spacing w:line="240" w:lineRule="auto"/>
              <w:rPr>
                <w:rFonts w:ascii="Times New Roman" w:hAnsi="Times New Roman"/>
                <w:spacing w:val="-2"/>
              </w:rPr>
            </w:pPr>
          </w:p>
          <w:p w14:paraId="477658F3" w14:textId="77777777" w:rsidR="00F9516F" w:rsidRPr="002269DF" w:rsidRDefault="00F9516F" w:rsidP="00CD2155">
            <w:pPr>
              <w:autoSpaceDE w:val="0"/>
              <w:autoSpaceDN w:val="0"/>
              <w:adjustRightInd w:val="0"/>
              <w:spacing w:line="240" w:lineRule="auto"/>
              <w:rPr>
                <w:rFonts w:ascii="Times New Roman" w:hAnsi="Times New Roman"/>
                <w:spacing w:val="-2"/>
              </w:rPr>
            </w:pPr>
          </w:p>
          <w:p w14:paraId="223F3347" w14:textId="77777777" w:rsidR="00F9516F" w:rsidRPr="002269DF" w:rsidRDefault="00F9516F" w:rsidP="00CD2155">
            <w:pPr>
              <w:autoSpaceDE w:val="0"/>
              <w:autoSpaceDN w:val="0"/>
              <w:adjustRightInd w:val="0"/>
              <w:spacing w:line="240" w:lineRule="auto"/>
              <w:rPr>
                <w:rFonts w:ascii="Times New Roman" w:hAnsi="Times New Roman"/>
                <w:spacing w:val="-2"/>
              </w:rPr>
            </w:pPr>
          </w:p>
          <w:p w14:paraId="6D9EEBD4" w14:textId="77777777" w:rsidR="00F9516F" w:rsidRPr="002269DF" w:rsidRDefault="00F9516F" w:rsidP="00CD2155">
            <w:pPr>
              <w:autoSpaceDE w:val="0"/>
              <w:autoSpaceDN w:val="0"/>
              <w:adjustRightInd w:val="0"/>
              <w:spacing w:line="240" w:lineRule="auto"/>
              <w:rPr>
                <w:rFonts w:ascii="Times New Roman" w:hAnsi="Times New Roman"/>
                <w:spacing w:val="-2"/>
              </w:rPr>
            </w:pPr>
          </w:p>
        </w:tc>
      </w:tr>
      <w:tr w:rsidR="00F93E69" w:rsidRPr="002269DF" w14:paraId="4BDDD315" w14:textId="77777777" w:rsidTr="00495D6D">
        <w:trPr>
          <w:gridAfter w:val="1"/>
          <w:wAfter w:w="10" w:type="dxa"/>
          <w:trHeight w:val="2959"/>
        </w:trPr>
        <w:tc>
          <w:tcPr>
            <w:tcW w:w="1844" w:type="dxa"/>
            <w:gridSpan w:val="2"/>
            <w:shd w:val="clear" w:color="auto" w:fill="auto"/>
          </w:tcPr>
          <w:p w14:paraId="57EDE055" w14:textId="77777777" w:rsidR="00F93E69" w:rsidRPr="002269DF" w:rsidRDefault="00F93E69" w:rsidP="00836EBC">
            <w:pPr>
              <w:spacing w:line="240" w:lineRule="auto"/>
              <w:rPr>
                <w:rFonts w:ascii="Times New Roman" w:hAnsi="Times New Roman"/>
                <w:lang w:eastAsia="pl-PL"/>
              </w:rPr>
            </w:pPr>
            <w:r w:rsidRPr="002269DF">
              <w:rPr>
                <w:rFonts w:ascii="Times New Roman" w:hAnsi="Times New Roman"/>
                <w:lang w:eastAsia="pl-PL"/>
              </w:rPr>
              <w:t>Pracodawcy zakwalifikowani  do grupy działalności dla której ustalono nie wyższą niż trzecia kategorię ryzyka w</w:t>
            </w:r>
            <w:r w:rsidR="00852DFF" w:rsidRPr="002269DF">
              <w:rPr>
                <w:rFonts w:ascii="Times New Roman" w:hAnsi="Times New Roman"/>
                <w:lang w:eastAsia="pl-PL"/>
              </w:rPr>
              <w:t> </w:t>
            </w:r>
            <w:r w:rsidRPr="002269DF">
              <w:rPr>
                <w:rFonts w:ascii="Times New Roman" w:hAnsi="Times New Roman"/>
                <w:lang w:eastAsia="pl-PL"/>
              </w:rPr>
              <w:t>rozumieniu przepisów  o ZUS</w:t>
            </w:r>
          </w:p>
          <w:p w14:paraId="5BC40F85" w14:textId="77777777" w:rsidR="00F93E69" w:rsidRPr="002269DF" w:rsidRDefault="00F93E69" w:rsidP="00836EBC">
            <w:pPr>
              <w:spacing w:line="240" w:lineRule="auto"/>
              <w:rPr>
                <w:rFonts w:ascii="Times New Roman" w:hAnsi="Times New Roman"/>
                <w:lang w:eastAsia="pl-PL"/>
              </w:rPr>
            </w:pPr>
          </w:p>
          <w:p w14:paraId="0B9437B6" w14:textId="77777777" w:rsidR="00F93E69" w:rsidRPr="002269DF" w:rsidRDefault="00F93E69" w:rsidP="00836EBC">
            <w:pPr>
              <w:spacing w:line="240" w:lineRule="auto"/>
              <w:rPr>
                <w:rFonts w:ascii="Times New Roman" w:hAnsi="Times New Roman"/>
                <w:lang w:eastAsia="pl-PL"/>
              </w:rPr>
            </w:pPr>
          </w:p>
        </w:tc>
        <w:tc>
          <w:tcPr>
            <w:tcW w:w="5244" w:type="dxa"/>
            <w:gridSpan w:val="16"/>
            <w:shd w:val="clear" w:color="auto" w:fill="auto"/>
          </w:tcPr>
          <w:p w14:paraId="502A0527" w14:textId="77777777" w:rsidR="00F93E69" w:rsidRPr="002269DF" w:rsidRDefault="00F93E69"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t xml:space="preserve">1103,4 tys. </w:t>
            </w:r>
          </w:p>
        </w:tc>
        <w:tc>
          <w:tcPr>
            <w:tcW w:w="1701" w:type="dxa"/>
            <w:gridSpan w:val="7"/>
            <w:shd w:val="clear" w:color="auto" w:fill="auto"/>
          </w:tcPr>
          <w:p w14:paraId="7714804E" w14:textId="77777777" w:rsidR="00F93E69" w:rsidRPr="002269DF" w:rsidRDefault="00F93E69"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t>ZUS</w:t>
            </w:r>
          </w:p>
        </w:tc>
        <w:tc>
          <w:tcPr>
            <w:tcW w:w="2148" w:type="dxa"/>
            <w:gridSpan w:val="4"/>
            <w:shd w:val="clear" w:color="auto" w:fill="auto"/>
          </w:tcPr>
          <w:p w14:paraId="688B3A0D" w14:textId="11D5300F" w:rsidR="00F93E69" w:rsidRPr="002269DF" w:rsidRDefault="00F93E69" w:rsidP="00495D6D">
            <w:pPr>
              <w:autoSpaceDE w:val="0"/>
              <w:autoSpaceDN w:val="0"/>
              <w:adjustRightInd w:val="0"/>
              <w:spacing w:line="240" w:lineRule="auto"/>
              <w:rPr>
                <w:rFonts w:ascii="Times New Roman" w:hAnsi="Times New Roman"/>
              </w:rPr>
            </w:pPr>
            <w:r w:rsidRPr="002269DF">
              <w:rPr>
                <w:rFonts w:ascii="Times New Roman" w:hAnsi="Times New Roman"/>
              </w:rPr>
              <w:t>Ograniczenie obowiązku dla</w:t>
            </w:r>
            <w:r w:rsidR="009060D1">
              <w:rPr>
                <w:rFonts w:ascii="Times New Roman" w:hAnsi="Times New Roman"/>
              </w:rPr>
              <w:t> </w:t>
            </w:r>
            <w:r w:rsidRPr="002269DF">
              <w:rPr>
                <w:rFonts w:ascii="Times New Roman" w:hAnsi="Times New Roman"/>
              </w:rPr>
              <w:t>pracodawców w</w:t>
            </w:r>
            <w:r w:rsidR="00852DFF" w:rsidRPr="002269DF">
              <w:rPr>
                <w:rFonts w:ascii="Times New Roman" w:hAnsi="Times New Roman"/>
              </w:rPr>
              <w:t> </w:t>
            </w:r>
            <w:r w:rsidRPr="002269DF">
              <w:rPr>
                <w:rFonts w:ascii="Times New Roman" w:hAnsi="Times New Roman"/>
              </w:rPr>
              <w:t>zakresie przeprowadzenia szkoleń okresowych BHP pracownika</w:t>
            </w:r>
          </w:p>
          <w:p w14:paraId="403EFF88" w14:textId="77777777" w:rsidR="00F93E69" w:rsidRPr="002269DF" w:rsidRDefault="00F93E69" w:rsidP="00495D6D">
            <w:pPr>
              <w:autoSpaceDE w:val="0"/>
              <w:autoSpaceDN w:val="0"/>
              <w:adjustRightInd w:val="0"/>
              <w:spacing w:line="240" w:lineRule="auto"/>
              <w:rPr>
                <w:rFonts w:ascii="Times New Roman" w:hAnsi="Times New Roman"/>
              </w:rPr>
            </w:pPr>
          </w:p>
        </w:tc>
      </w:tr>
      <w:tr w:rsidR="00F93E69" w:rsidRPr="002269DF" w14:paraId="60B81562" w14:textId="77777777" w:rsidTr="0016081E">
        <w:trPr>
          <w:gridAfter w:val="1"/>
          <w:wAfter w:w="10" w:type="dxa"/>
          <w:trHeight w:val="3720"/>
        </w:trPr>
        <w:tc>
          <w:tcPr>
            <w:tcW w:w="1844" w:type="dxa"/>
            <w:gridSpan w:val="2"/>
            <w:shd w:val="clear" w:color="auto" w:fill="auto"/>
          </w:tcPr>
          <w:p w14:paraId="17F79BD5" w14:textId="77777777" w:rsidR="00F93E69" w:rsidRPr="002269DF" w:rsidRDefault="00F93E69" w:rsidP="00836EBC">
            <w:pPr>
              <w:spacing w:line="240" w:lineRule="auto"/>
              <w:rPr>
                <w:rFonts w:ascii="Times New Roman" w:hAnsi="Times New Roman"/>
                <w:lang w:eastAsia="pl-PL"/>
              </w:rPr>
            </w:pPr>
            <w:r w:rsidRPr="002269DF">
              <w:rPr>
                <w:rFonts w:ascii="Times New Roman" w:hAnsi="Times New Roman"/>
                <w:lang w:eastAsia="pl-PL"/>
              </w:rPr>
              <w:lastRenderedPageBreak/>
              <w:t>Pracownicy zatrudnieni przez pracodawcę zakwalifikowanego do grupy działalności dla której ustalono nie wyższą niż trzecia kategorię ryzyka w</w:t>
            </w:r>
            <w:r w:rsidR="00852DFF" w:rsidRPr="002269DF">
              <w:rPr>
                <w:rFonts w:ascii="Times New Roman" w:hAnsi="Times New Roman"/>
                <w:lang w:eastAsia="pl-PL"/>
              </w:rPr>
              <w:t> </w:t>
            </w:r>
            <w:r w:rsidRPr="002269DF">
              <w:rPr>
                <w:rFonts w:ascii="Times New Roman" w:hAnsi="Times New Roman"/>
                <w:lang w:eastAsia="pl-PL"/>
              </w:rPr>
              <w:t>rozumieniu przepisów  o ZUS</w:t>
            </w:r>
          </w:p>
        </w:tc>
        <w:tc>
          <w:tcPr>
            <w:tcW w:w="5244" w:type="dxa"/>
            <w:gridSpan w:val="16"/>
            <w:shd w:val="clear" w:color="auto" w:fill="auto"/>
          </w:tcPr>
          <w:p w14:paraId="1121EDA2" w14:textId="77777777" w:rsidR="00F93E69" w:rsidRPr="002269DF" w:rsidRDefault="00F93E69"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t>5866,2 tys.</w:t>
            </w:r>
          </w:p>
        </w:tc>
        <w:tc>
          <w:tcPr>
            <w:tcW w:w="1701" w:type="dxa"/>
            <w:gridSpan w:val="7"/>
            <w:shd w:val="clear" w:color="auto" w:fill="auto"/>
          </w:tcPr>
          <w:p w14:paraId="5DA61C9E" w14:textId="77777777" w:rsidR="00F93E69" w:rsidRPr="002269DF" w:rsidRDefault="00F93E69"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t>GUS – szacunki własne</w:t>
            </w:r>
          </w:p>
        </w:tc>
        <w:tc>
          <w:tcPr>
            <w:tcW w:w="2148" w:type="dxa"/>
            <w:gridSpan w:val="4"/>
            <w:shd w:val="clear" w:color="auto" w:fill="auto"/>
          </w:tcPr>
          <w:p w14:paraId="48A4BF27" w14:textId="5CF828C9" w:rsidR="00F93E69" w:rsidRPr="002269DF" w:rsidRDefault="00F93E69" w:rsidP="00495D6D">
            <w:pPr>
              <w:autoSpaceDE w:val="0"/>
              <w:autoSpaceDN w:val="0"/>
              <w:adjustRightInd w:val="0"/>
              <w:spacing w:line="240" w:lineRule="auto"/>
              <w:rPr>
                <w:rFonts w:ascii="Times New Roman" w:hAnsi="Times New Roman"/>
              </w:rPr>
            </w:pPr>
            <w:r w:rsidRPr="002269DF">
              <w:rPr>
                <w:rFonts w:ascii="Times New Roman" w:hAnsi="Times New Roman"/>
              </w:rPr>
              <w:t>Ograniczenie o</w:t>
            </w:r>
            <w:r w:rsidR="00852DFF" w:rsidRPr="002269DF">
              <w:rPr>
                <w:rFonts w:ascii="Times New Roman" w:hAnsi="Times New Roman"/>
              </w:rPr>
              <w:t> </w:t>
            </w:r>
            <w:r w:rsidRPr="002269DF">
              <w:rPr>
                <w:rFonts w:ascii="Times New Roman" w:hAnsi="Times New Roman"/>
              </w:rPr>
              <w:t>obowiązku w</w:t>
            </w:r>
            <w:r w:rsidR="009060D1">
              <w:rPr>
                <w:rFonts w:ascii="Times New Roman" w:hAnsi="Times New Roman"/>
              </w:rPr>
              <w:t> </w:t>
            </w:r>
            <w:r w:rsidRPr="002269DF">
              <w:rPr>
                <w:rFonts w:ascii="Times New Roman" w:hAnsi="Times New Roman"/>
              </w:rPr>
              <w:t>zakresie odbycia okresowego przeszkolenia BHP</w:t>
            </w:r>
          </w:p>
          <w:p w14:paraId="73460844" w14:textId="77777777" w:rsidR="00F93E69" w:rsidRPr="002269DF" w:rsidRDefault="00F93E69" w:rsidP="00495D6D">
            <w:pPr>
              <w:autoSpaceDE w:val="0"/>
              <w:autoSpaceDN w:val="0"/>
              <w:adjustRightInd w:val="0"/>
              <w:spacing w:line="240" w:lineRule="auto"/>
              <w:rPr>
                <w:rFonts w:ascii="Times New Roman" w:hAnsi="Times New Roman"/>
              </w:rPr>
            </w:pPr>
          </w:p>
        </w:tc>
      </w:tr>
      <w:tr w:rsidR="003E401E" w:rsidRPr="002269DF" w14:paraId="24FF1B2F" w14:textId="77777777" w:rsidTr="003E401E">
        <w:trPr>
          <w:gridAfter w:val="1"/>
          <w:wAfter w:w="10" w:type="dxa"/>
          <w:trHeight w:val="2117"/>
        </w:trPr>
        <w:tc>
          <w:tcPr>
            <w:tcW w:w="1844" w:type="dxa"/>
            <w:gridSpan w:val="2"/>
            <w:shd w:val="clear" w:color="auto" w:fill="auto"/>
          </w:tcPr>
          <w:p w14:paraId="11193409" w14:textId="77777777" w:rsidR="003E401E" w:rsidRPr="002269DF" w:rsidRDefault="003E401E" w:rsidP="00852DFF">
            <w:pPr>
              <w:spacing w:line="240" w:lineRule="auto"/>
              <w:jc w:val="both"/>
              <w:rPr>
                <w:rFonts w:ascii="Times New Roman" w:hAnsi="Times New Roman"/>
                <w:lang w:eastAsia="pl-PL"/>
              </w:rPr>
            </w:pPr>
            <w:r w:rsidRPr="002269DF">
              <w:rPr>
                <w:rFonts w:ascii="Times New Roman" w:hAnsi="Times New Roman"/>
                <w:lang w:eastAsia="pl-PL"/>
              </w:rPr>
              <w:t>Podmioty publiczne zawierające transakcje handlowe</w:t>
            </w:r>
          </w:p>
        </w:tc>
        <w:tc>
          <w:tcPr>
            <w:tcW w:w="5244" w:type="dxa"/>
            <w:gridSpan w:val="16"/>
            <w:shd w:val="clear" w:color="auto" w:fill="auto"/>
          </w:tcPr>
          <w:p w14:paraId="0EEDF22C" w14:textId="77777777" w:rsidR="003E401E" w:rsidRPr="002269DF" w:rsidRDefault="003E401E" w:rsidP="003E401E">
            <w:pPr>
              <w:spacing w:line="240" w:lineRule="auto"/>
              <w:jc w:val="both"/>
              <w:rPr>
                <w:rFonts w:ascii="Times New Roman" w:hAnsi="Times New Roman"/>
                <w:color w:val="000000"/>
                <w:spacing w:val="-2"/>
              </w:rPr>
            </w:pPr>
            <w:r w:rsidRPr="002269DF">
              <w:rPr>
                <w:rFonts w:ascii="Times New Roman" w:hAnsi="Times New Roman"/>
                <w:color w:val="000000"/>
                <w:spacing w:val="-2"/>
              </w:rPr>
              <w:t>ok. 0,1 mln podmiotów gospodarki z sektora publicznego</w:t>
            </w:r>
          </w:p>
        </w:tc>
        <w:tc>
          <w:tcPr>
            <w:tcW w:w="1701" w:type="dxa"/>
            <w:gridSpan w:val="7"/>
            <w:shd w:val="clear" w:color="auto" w:fill="auto"/>
          </w:tcPr>
          <w:p w14:paraId="59703E9A" w14:textId="77777777" w:rsidR="003E401E" w:rsidRPr="002269DF" w:rsidRDefault="003E401E" w:rsidP="00360008">
            <w:pPr>
              <w:spacing w:line="240" w:lineRule="auto"/>
              <w:rPr>
                <w:rFonts w:ascii="Times New Roman" w:hAnsi="Times New Roman"/>
                <w:color w:val="000000"/>
                <w:spacing w:val="-2"/>
              </w:rPr>
            </w:pPr>
            <w:r w:rsidRPr="002269DF">
              <w:rPr>
                <w:rFonts w:ascii="Times New Roman" w:hAnsi="Times New Roman"/>
                <w:color w:val="000000"/>
                <w:spacing w:val="-2"/>
              </w:rPr>
              <w:t>GUS, „Zmiany strukturalne grup podmiotów gospodarki narodowej w rejestrze REGON”</w:t>
            </w:r>
          </w:p>
        </w:tc>
        <w:tc>
          <w:tcPr>
            <w:tcW w:w="2148" w:type="dxa"/>
            <w:gridSpan w:val="4"/>
            <w:shd w:val="clear" w:color="auto" w:fill="auto"/>
          </w:tcPr>
          <w:p w14:paraId="421E71C3" w14:textId="77777777" w:rsidR="003E401E" w:rsidRPr="002269DF" w:rsidRDefault="003E401E" w:rsidP="00495D6D">
            <w:pPr>
              <w:autoSpaceDE w:val="0"/>
              <w:autoSpaceDN w:val="0"/>
              <w:adjustRightInd w:val="0"/>
              <w:spacing w:line="240" w:lineRule="auto"/>
              <w:rPr>
                <w:rFonts w:ascii="Times New Roman" w:hAnsi="Times New Roman"/>
              </w:rPr>
            </w:pPr>
            <w:r w:rsidRPr="002269DF">
              <w:rPr>
                <w:rFonts w:ascii="Times New Roman" w:hAnsi="Times New Roman"/>
              </w:rPr>
              <w:t>Ograniczenie sytuacji, w których terminy zapłaty ustalane przez podmioty publiczne na rzecz przedsiębiorców przekraczają 30 dni.</w:t>
            </w:r>
          </w:p>
        </w:tc>
      </w:tr>
      <w:tr w:rsidR="00421AFC" w:rsidRPr="002269DF" w14:paraId="570376F8" w14:textId="77777777" w:rsidTr="003E401E">
        <w:trPr>
          <w:gridAfter w:val="1"/>
          <w:wAfter w:w="10" w:type="dxa"/>
          <w:trHeight w:val="2117"/>
        </w:trPr>
        <w:tc>
          <w:tcPr>
            <w:tcW w:w="1844" w:type="dxa"/>
            <w:gridSpan w:val="2"/>
            <w:shd w:val="clear" w:color="auto" w:fill="auto"/>
          </w:tcPr>
          <w:p w14:paraId="69C2AFA4" w14:textId="77777777" w:rsidR="00421AFC" w:rsidRPr="002269DF" w:rsidRDefault="00421AFC" w:rsidP="00852DFF">
            <w:pPr>
              <w:spacing w:line="240" w:lineRule="auto"/>
              <w:jc w:val="both"/>
              <w:rPr>
                <w:rFonts w:ascii="Times New Roman" w:hAnsi="Times New Roman"/>
                <w:highlight w:val="green"/>
                <w:lang w:eastAsia="pl-PL"/>
              </w:rPr>
            </w:pPr>
            <w:r w:rsidRPr="002269DF">
              <w:rPr>
                <w:rFonts w:ascii="Times New Roman" w:hAnsi="Times New Roman"/>
                <w:lang w:eastAsia="pl-PL"/>
              </w:rPr>
              <w:t>Przedsiębiorcy prowadzący działalność gastronomiczną (mobilną)</w:t>
            </w:r>
          </w:p>
        </w:tc>
        <w:tc>
          <w:tcPr>
            <w:tcW w:w="5244" w:type="dxa"/>
            <w:gridSpan w:val="16"/>
            <w:shd w:val="clear" w:color="auto" w:fill="auto"/>
          </w:tcPr>
          <w:p w14:paraId="6CD9110C" w14:textId="77777777" w:rsidR="00421AFC" w:rsidRPr="002269DF" w:rsidRDefault="00421AFC" w:rsidP="003E401E">
            <w:pPr>
              <w:spacing w:line="240" w:lineRule="auto"/>
              <w:jc w:val="both"/>
              <w:rPr>
                <w:rFonts w:ascii="Times New Roman" w:hAnsi="Times New Roman"/>
                <w:color w:val="000000"/>
                <w:spacing w:val="-2"/>
              </w:rPr>
            </w:pPr>
            <w:r w:rsidRPr="002269DF">
              <w:rPr>
                <w:rFonts w:ascii="Times New Roman" w:hAnsi="Times New Roman"/>
                <w:color w:val="000000"/>
                <w:spacing w:val="-2"/>
              </w:rPr>
              <w:t xml:space="preserve">900  </w:t>
            </w:r>
          </w:p>
        </w:tc>
        <w:tc>
          <w:tcPr>
            <w:tcW w:w="1701" w:type="dxa"/>
            <w:gridSpan w:val="7"/>
            <w:shd w:val="clear" w:color="auto" w:fill="auto"/>
          </w:tcPr>
          <w:p w14:paraId="5E6FFDD5" w14:textId="77777777" w:rsidR="00421AFC" w:rsidRPr="002269DF" w:rsidRDefault="00421AFC" w:rsidP="00360008">
            <w:pPr>
              <w:spacing w:line="240" w:lineRule="auto"/>
              <w:rPr>
                <w:rFonts w:ascii="Times New Roman" w:hAnsi="Times New Roman"/>
                <w:color w:val="000000"/>
                <w:spacing w:val="-2"/>
              </w:rPr>
            </w:pPr>
            <w:r w:rsidRPr="002269DF">
              <w:rPr>
                <w:rFonts w:ascii="Times New Roman" w:hAnsi="Times New Roman"/>
                <w:color w:val="000000"/>
                <w:spacing w:val="-2"/>
              </w:rPr>
              <w:t>Dane uzyskane ze strony foodtruckportal.pl</w:t>
            </w:r>
          </w:p>
        </w:tc>
        <w:tc>
          <w:tcPr>
            <w:tcW w:w="2148" w:type="dxa"/>
            <w:gridSpan w:val="4"/>
            <w:shd w:val="clear" w:color="auto" w:fill="auto"/>
          </w:tcPr>
          <w:p w14:paraId="0969B39E" w14:textId="5912B35D" w:rsidR="00421AFC" w:rsidRPr="002269DF" w:rsidRDefault="00421AFC" w:rsidP="00CF256A">
            <w:pPr>
              <w:spacing w:before="40" w:line="240" w:lineRule="auto"/>
              <w:rPr>
                <w:rFonts w:ascii="Times New Roman" w:hAnsi="Times New Roman"/>
                <w:spacing w:val="-2"/>
              </w:rPr>
            </w:pPr>
            <w:r w:rsidRPr="002269DF">
              <w:rPr>
                <w:rFonts w:ascii="Times New Roman" w:hAnsi="Times New Roman"/>
                <w:spacing w:val="-2"/>
              </w:rPr>
              <w:t>Poprawa warunków prowadzenia działalności gospodarczej, polegająca na zaoszczędzeniu czasu przedsiębiorcy, poprzez umożliwienie odbioru przez</w:t>
            </w:r>
            <w:r w:rsidR="009060D1">
              <w:rPr>
                <w:rFonts w:ascii="Times New Roman" w:hAnsi="Times New Roman"/>
                <w:spacing w:val="-2"/>
              </w:rPr>
              <w:t> </w:t>
            </w:r>
            <w:r w:rsidRPr="002269DF">
              <w:rPr>
                <w:rFonts w:ascii="Times New Roman" w:hAnsi="Times New Roman"/>
                <w:spacing w:val="-2"/>
              </w:rPr>
              <w:t>państwowego powiatowego inspektora sanitarnego (lub</w:t>
            </w:r>
            <w:r w:rsidR="009060D1">
              <w:rPr>
                <w:rFonts w:ascii="Times New Roman" w:hAnsi="Times New Roman"/>
                <w:spacing w:val="-2"/>
              </w:rPr>
              <w:t> </w:t>
            </w:r>
            <w:r w:rsidRPr="002269DF">
              <w:rPr>
                <w:rFonts w:ascii="Times New Roman" w:hAnsi="Times New Roman"/>
                <w:spacing w:val="-2"/>
              </w:rPr>
              <w:t>państwowego granicznego inspektora sanitarnego) mobilnych gastronomii w innym mieście powiatowym niż jest zarejestrowana firma przedsiębiorcy.</w:t>
            </w:r>
          </w:p>
          <w:p w14:paraId="371C62B4" w14:textId="77777777" w:rsidR="00421AFC" w:rsidRPr="002269DF" w:rsidRDefault="00421AFC" w:rsidP="00495D6D">
            <w:pPr>
              <w:autoSpaceDE w:val="0"/>
              <w:autoSpaceDN w:val="0"/>
              <w:adjustRightInd w:val="0"/>
              <w:spacing w:line="240" w:lineRule="auto"/>
              <w:rPr>
                <w:rFonts w:ascii="Times New Roman" w:hAnsi="Times New Roman"/>
              </w:rPr>
            </w:pPr>
          </w:p>
        </w:tc>
      </w:tr>
      <w:tr w:rsidR="004A6DE7" w:rsidRPr="002269DF" w14:paraId="41219C0A" w14:textId="77777777" w:rsidTr="009060D1">
        <w:trPr>
          <w:gridAfter w:val="1"/>
          <w:wAfter w:w="10" w:type="dxa"/>
          <w:trHeight w:val="54"/>
        </w:trPr>
        <w:tc>
          <w:tcPr>
            <w:tcW w:w="1844" w:type="dxa"/>
            <w:gridSpan w:val="2"/>
            <w:shd w:val="clear" w:color="auto" w:fill="auto"/>
          </w:tcPr>
          <w:p w14:paraId="3AF7F14B" w14:textId="5483859B" w:rsidR="004A6DE7" w:rsidRPr="002269DF" w:rsidRDefault="004A6DE7" w:rsidP="009060D1">
            <w:pPr>
              <w:spacing w:line="240" w:lineRule="auto"/>
              <w:rPr>
                <w:rFonts w:ascii="Times New Roman" w:hAnsi="Times New Roman"/>
                <w:highlight w:val="green"/>
                <w:lang w:eastAsia="pl-PL"/>
              </w:rPr>
            </w:pPr>
            <w:r w:rsidRPr="002269DF">
              <w:rPr>
                <w:rFonts w:ascii="Times New Roman" w:hAnsi="Times New Roman"/>
                <w:color w:val="000000"/>
                <w:lang w:eastAsia="pl-PL"/>
              </w:rPr>
              <w:t>Podmioty gospodarki narodowej deklarujące prowadzenie działalności w</w:t>
            </w:r>
            <w:r w:rsidR="009060D1">
              <w:rPr>
                <w:rFonts w:ascii="Times New Roman" w:hAnsi="Times New Roman"/>
                <w:color w:val="000000"/>
                <w:lang w:eastAsia="pl-PL"/>
              </w:rPr>
              <w:t> </w:t>
            </w:r>
            <w:r w:rsidRPr="002269DF">
              <w:rPr>
                <w:rFonts w:ascii="Times New Roman" w:hAnsi="Times New Roman"/>
                <w:color w:val="000000"/>
                <w:lang w:eastAsia="pl-PL"/>
              </w:rPr>
              <w:t>zakresie sprzedaży hurtowej i</w:t>
            </w:r>
            <w:r w:rsidR="009060D1">
              <w:rPr>
                <w:rFonts w:ascii="Times New Roman" w:hAnsi="Times New Roman"/>
                <w:color w:val="000000"/>
                <w:lang w:eastAsia="pl-PL"/>
              </w:rPr>
              <w:t> </w:t>
            </w:r>
            <w:r w:rsidRPr="002269DF">
              <w:rPr>
                <w:rFonts w:ascii="Times New Roman" w:hAnsi="Times New Roman"/>
                <w:color w:val="000000"/>
                <w:lang w:eastAsia="pl-PL"/>
              </w:rPr>
              <w:t>detalicznej motocykli, ich</w:t>
            </w:r>
            <w:r w:rsidR="009060D1">
              <w:rPr>
                <w:rFonts w:ascii="Times New Roman" w:hAnsi="Times New Roman"/>
                <w:color w:val="000000"/>
                <w:lang w:eastAsia="pl-PL"/>
              </w:rPr>
              <w:t> </w:t>
            </w:r>
            <w:r w:rsidRPr="002269DF">
              <w:rPr>
                <w:rFonts w:ascii="Times New Roman" w:hAnsi="Times New Roman"/>
                <w:color w:val="000000"/>
                <w:lang w:eastAsia="pl-PL"/>
              </w:rPr>
              <w:t>naprawy i</w:t>
            </w:r>
            <w:r w:rsidR="009060D1">
              <w:rPr>
                <w:rFonts w:ascii="Times New Roman" w:hAnsi="Times New Roman"/>
                <w:color w:val="000000"/>
                <w:lang w:eastAsia="pl-PL"/>
              </w:rPr>
              <w:t> </w:t>
            </w:r>
            <w:r w:rsidRPr="002269DF">
              <w:rPr>
                <w:rFonts w:ascii="Times New Roman" w:hAnsi="Times New Roman"/>
                <w:color w:val="000000"/>
                <w:lang w:eastAsia="pl-PL"/>
              </w:rPr>
              <w:t>konserwacji</w:t>
            </w:r>
          </w:p>
        </w:tc>
        <w:tc>
          <w:tcPr>
            <w:tcW w:w="5244" w:type="dxa"/>
            <w:gridSpan w:val="16"/>
            <w:shd w:val="clear" w:color="auto" w:fill="auto"/>
          </w:tcPr>
          <w:p w14:paraId="54F0A4FC" w14:textId="77777777" w:rsidR="004A6DE7" w:rsidRPr="002269DF" w:rsidRDefault="004A6DE7" w:rsidP="003E401E">
            <w:pPr>
              <w:spacing w:line="240" w:lineRule="auto"/>
              <w:jc w:val="both"/>
              <w:rPr>
                <w:rFonts w:ascii="Times New Roman" w:hAnsi="Times New Roman"/>
                <w:color w:val="000000"/>
                <w:spacing w:val="-2"/>
              </w:rPr>
            </w:pPr>
            <w:r w:rsidRPr="002269DF">
              <w:rPr>
                <w:rFonts w:ascii="Times New Roman" w:hAnsi="Times New Roman"/>
                <w:color w:val="000000"/>
                <w:spacing w:val="-2"/>
              </w:rPr>
              <w:t>3,368 tys.</w:t>
            </w:r>
          </w:p>
        </w:tc>
        <w:tc>
          <w:tcPr>
            <w:tcW w:w="1701" w:type="dxa"/>
            <w:gridSpan w:val="7"/>
            <w:shd w:val="clear" w:color="auto" w:fill="auto"/>
          </w:tcPr>
          <w:p w14:paraId="2EF6301D" w14:textId="77777777" w:rsidR="004A6DE7" w:rsidRPr="002269DF" w:rsidRDefault="004A6DE7"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t>Podmioty gospodarki narodowej zarejestrowane w rejestrze REGON, deklarujące prowadzenie działalności. Stan w dniu 31 III 2017 r. - GUS</w:t>
            </w:r>
          </w:p>
        </w:tc>
        <w:tc>
          <w:tcPr>
            <w:tcW w:w="2148" w:type="dxa"/>
            <w:gridSpan w:val="4"/>
            <w:shd w:val="clear" w:color="auto" w:fill="auto"/>
          </w:tcPr>
          <w:p w14:paraId="35A096D6" w14:textId="77777777" w:rsidR="004A6DE7" w:rsidRPr="002269DF" w:rsidRDefault="004A6DE7" w:rsidP="00264B51">
            <w:pPr>
              <w:autoSpaceDE w:val="0"/>
              <w:autoSpaceDN w:val="0"/>
              <w:adjustRightInd w:val="0"/>
              <w:spacing w:line="240" w:lineRule="auto"/>
              <w:rPr>
                <w:rFonts w:ascii="Times New Roman" w:hAnsi="Times New Roman"/>
              </w:rPr>
            </w:pPr>
            <w:r w:rsidRPr="002269DF">
              <w:rPr>
                <w:rFonts w:ascii="Times New Roman" w:hAnsi="Times New Roman"/>
              </w:rPr>
              <w:t>Poszerzenie możliwości sprzedaży motocykli z napędem elektrycznym poprzez doprecyzowanie możliwości rejestracji motocykla z takim napędem.</w:t>
            </w:r>
          </w:p>
          <w:p w14:paraId="6CC76276" w14:textId="77777777" w:rsidR="004A6DE7" w:rsidRPr="002269DF" w:rsidRDefault="004A6DE7" w:rsidP="00264B51">
            <w:pPr>
              <w:autoSpaceDE w:val="0"/>
              <w:autoSpaceDN w:val="0"/>
              <w:adjustRightInd w:val="0"/>
              <w:spacing w:line="240" w:lineRule="auto"/>
              <w:rPr>
                <w:rFonts w:ascii="Times New Roman" w:hAnsi="Times New Roman"/>
              </w:rPr>
            </w:pPr>
          </w:p>
          <w:p w14:paraId="38193716" w14:textId="77777777" w:rsidR="004A6DE7" w:rsidRPr="002269DF" w:rsidRDefault="004A6DE7" w:rsidP="00264B51">
            <w:pPr>
              <w:autoSpaceDE w:val="0"/>
              <w:autoSpaceDN w:val="0"/>
              <w:adjustRightInd w:val="0"/>
              <w:spacing w:line="240" w:lineRule="auto"/>
              <w:rPr>
                <w:rFonts w:ascii="Times New Roman" w:hAnsi="Times New Roman"/>
              </w:rPr>
            </w:pPr>
          </w:p>
          <w:p w14:paraId="1852F22E" w14:textId="77777777" w:rsidR="004A6DE7" w:rsidRPr="002269DF" w:rsidRDefault="004A6DE7" w:rsidP="00CF256A">
            <w:pPr>
              <w:spacing w:before="40" w:line="240" w:lineRule="auto"/>
              <w:rPr>
                <w:rFonts w:ascii="Times New Roman" w:hAnsi="Times New Roman"/>
                <w:spacing w:val="-2"/>
              </w:rPr>
            </w:pPr>
          </w:p>
        </w:tc>
      </w:tr>
      <w:tr w:rsidR="004A6DE7" w:rsidRPr="002269DF" w14:paraId="29F31801" w14:textId="77777777" w:rsidTr="003E401E">
        <w:trPr>
          <w:gridAfter w:val="1"/>
          <w:wAfter w:w="10" w:type="dxa"/>
          <w:trHeight w:val="2117"/>
        </w:trPr>
        <w:tc>
          <w:tcPr>
            <w:tcW w:w="1844" w:type="dxa"/>
            <w:gridSpan w:val="2"/>
            <w:shd w:val="clear" w:color="auto" w:fill="auto"/>
          </w:tcPr>
          <w:p w14:paraId="416BF07E" w14:textId="77777777" w:rsidR="004A6DE7" w:rsidRPr="002269DF" w:rsidRDefault="004A6DE7" w:rsidP="006C1AE8">
            <w:pPr>
              <w:rPr>
                <w:rFonts w:ascii="Times New Roman" w:hAnsi="Times New Roman"/>
                <w:color w:val="000000"/>
                <w:lang w:eastAsia="pl-PL"/>
              </w:rPr>
            </w:pPr>
            <w:r w:rsidRPr="002269DF">
              <w:rPr>
                <w:rFonts w:ascii="Times New Roman" w:hAnsi="Times New Roman"/>
                <w:color w:val="000000"/>
                <w:lang w:eastAsia="pl-PL"/>
              </w:rPr>
              <w:lastRenderedPageBreak/>
              <w:t xml:space="preserve">Osoby posiadające motocykl </w:t>
            </w:r>
          </w:p>
          <w:p w14:paraId="64F5E8D7" w14:textId="77777777" w:rsidR="004A6DE7" w:rsidRPr="002269DF" w:rsidRDefault="004A6DE7" w:rsidP="006C1AE8">
            <w:pPr>
              <w:rPr>
                <w:rFonts w:ascii="Times New Roman" w:hAnsi="Times New Roman"/>
                <w:color w:val="000000"/>
                <w:lang w:eastAsia="pl-PL"/>
              </w:rPr>
            </w:pPr>
          </w:p>
          <w:p w14:paraId="48F25C7E" w14:textId="77777777" w:rsidR="004A6DE7" w:rsidRPr="002269DF" w:rsidRDefault="004A6DE7" w:rsidP="006C1AE8">
            <w:pPr>
              <w:rPr>
                <w:rFonts w:ascii="Times New Roman" w:hAnsi="Times New Roman"/>
                <w:color w:val="000000"/>
                <w:lang w:eastAsia="pl-PL"/>
              </w:rPr>
            </w:pPr>
          </w:p>
          <w:p w14:paraId="14D32631" w14:textId="77777777" w:rsidR="004A6DE7" w:rsidRPr="002269DF" w:rsidRDefault="004A6DE7" w:rsidP="006C1AE8">
            <w:pPr>
              <w:rPr>
                <w:rFonts w:ascii="Times New Roman" w:hAnsi="Times New Roman"/>
                <w:color w:val="000000"/>
                <w:lang w:eastAsia="pl-PL"/>
              </w:rPr>
            </w:pPr>
          </w:p>
          <w:p w14:paraId="036CE62B" w14:textId="77777777" w:rsidR="004A6DE7" w:rsidRPr="002269DF" w:rsidRDefault="004A6DE7" w:rsidP="006C1AE8">
            <w:pPr>
              <w:rPr>
                <w:rFonts w:ascii="Times New Roman" w:hAnsi="Times New Roman"/>
                <w:color w:val="000000"/>
                <w:lang w:eastAsia="pl-PL"/>
              </w:rPr>
            </w:pPr>
          </w:p>
          <w:p w14:paraId="03C6B43A" w14:textId="77777777" w:rsidR="004A6DE7" w:rsidRPr="002269DF" w:rsidRDefault="004A6DE7" w:rsidP="006C1AE8">
            <w:pPr>
              <w:rPr>
                <w:rFonts w:ascii="Times New Roman" w:hAnsi="Times New Roman"/>
                <w:color w:val="000000"/>
                <w:lang w:eastAsia="pl-PL"/>
              </w:rPr>
            </w:pPr>
          </w:p>
          <w:p w14:paraId="78FCB5D0" w14:textId="77777777" w:rsidR="004A6DE7" w:rsidRPr="002269DF" w:rsidRDefault="004A6DE7" w:rsidP="006C1AE8">
            <w:pPr>
              <w:rPr>
                <w:rFonts w:ascii="Times New Roman" w:hAnsi="Times New Roman"/>
                <w:color w:val="000000"/>
                <w:lang w:eastAsia="pl-PL"/>
              </w:rPr>
            </w:pPr>
          </w:p>
          <w:p w14:paraId="11D7D4DE" w14:textId="77777777" w:rsidR="004A6DE7" w:rsidRPr="002269DF" w:rsidRDefault="004A6DE7" w:rsidP="006C1AE8">
            <w:pPr>
              <w:spacing w:line="240" w:lineRule="auto"/>
              <w:rPr>
                <w:rFonts w:ascii="Times New Roman" w:hAnsi="Times New Roman"/>
                <w:color w:val="000000"/>
                <w:lang w:eastAsia="pl-PL"/>
              </w:rPr>
            </w:pPr>
          </w:p>
        </w:tc>
        <w:tc>
          <w:tcPr>
            <w:tcW w:w="5244" w:type="dxa"/>
            <w:gridSpan w:val="16"/>
            <w:shd w:val="clear" w:color="auto" w:fill="auto"/>
          </w:tcPr>
          <w:p w14:paraId="200DF622" w14:textId="77777777" w:rsidR="004A6DE7" w:rsidRPr="002269DF" w:rsidRDefault="004A6DE7" w:rsidP="003E401E">
            <w:pPr>
              <w:spacing w:line="240" w:lineRule="auto"/>
              <w:jc w:val="both"/>
              <w:rPr>
                <w:rFonts w:ascii="Times New Roman" w:hAnsi="Times New Roman"/>
                <w:color w:val="000000"/>
                <w:spacing w:val="-2"/>
              </w:rPr>
            </w:pPr>
            <w:r w:rsidRPr="002269DF">
              <w:rPr>
                <w:rFonts w:ascii="Times New Roman" w:hAnsi="Times New Roman"/>
                <w:color w:val="000000"/>
                <w:spacing w:val="-2"/>
              </w:rPr>
              <w:t>1388,515 tys. zarejestrowanych motocykli</w:t>
            </w:r>
          </w:p>
        </w:tc>
        <w:tc>
          <w:tcPr>
            <w:tcW w:w="1701" w:type="dxa"/>
            <w:gridSpan w:val="7"/>
            <w:shd w:val="clear" w:color="auto" w:fill="auto"/>
          </w:tcPr>
          <w:p w14:paraId="52A833A4" w14:textId="77777777" w:rsidR="004A6DE7" w:rsidRPr="002269DF" w:rsidRDefault="004A6DE7"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t>CEPIK  na dzień 31.05.2017 r.</w:t>
            </w:r>
          </w:p>
        </w:tc>
        <w:tc>
          <w:tcPr>
            <w:tcW w:w="2148" w:type="dxa"/>
            <w:gridSpan w:val="4"/>
            <w:shd w:val="clear" w:color="auto" w:fill="auto"/>
          </w:tcPr>
          <w:p w14:paraId="19D20AC0" w14:textId="38DDA14A" w:rsidR="004A6DE7" w:rsidRPr="002269DF" w:rsidRDefault="00D73407" w:rsidP="009060D1">
            <w:pPr>
              <w:autoSpaceDE w:val="0"/>
              <w:autoSpaceDN w:val="0"/>
              <w:adjustRightInd w:val="0"/>
              <w:spacing w:line="240" w:lineRule="auto"/>
              <w:rPr>
                <w:rFonts w:ascii="Times New Roman" w:hAnsi="Times New Roman"/>
              </w:rPr>
            </w:pPr>
            <w:r w:rsidRPr="002269DF">
              <w:rPr>
                <w:rFonts w:ascii="Times New Roman" w:hAnsi="Times New Roman"/>
              </w:rPr>
              <w:t xml:space="preserve">Ułatwienie potencjalnym nabywcom rejestracji motocykla z napędem </w:t>
            </w:r>
            <w:r>
              <w:rPr>
                <w:rFonts w:ascii="Times New Roman" w:hAnsi="Times New Roman"/>
              </w:rPr>
              <w:t>innym niż spalinowy  (spełniającym wymogi przepisów o</w:t>
            </w:r>
            <w:r w:rsidR="009060D1">
              <w:rPr>
                <w:rFonts w:ascii="Times New Roman" w:hAnsi="Times New Roman"/>
              </w:rPr>
              <w:t> </w:t>
            </w:r>
            <w:r>
              <w:rPr>
                <w:rFonts w:ascii="Times New Roman" w:hAnsi="Times New Roman"/>
              </w:rPr>
              <w:t>homologacji, w</w:t>
            </w:r>
            <w:r w:rsidR="009060D1">
              <w:rPr>
                <w:rFonts w:ascii="Times New Roman" w:hAnsi="Times New Roman"/>
              </w:rPr>
              <w:t> </w:t>
            </w:r>
            <w:r>
              <w:rPr>
                <w:rFonts w:ascii="Times New Roman" w:hAnsi="Times New Roman"/>
              </w:rPr>
              <w:t>szczególności elektryczny)</w:t>
            </w:r>
          </w:p>
        </w:tc>
      </w:tr>
      <w:tr w:rsidR="00E238FE" w:rsidRPr="002269DF" w14:paraId="73394EDD" w14:textId="77777777" w:rsidTr="003E401E">
        <w:trPr>
          <w:gridAfter w:val="1"/>
          <w:wAfter w:w="10" w:type="dxa"/>
          <w:trHeight w:val="2117"/>
        </w:trPr>
        <w:tc>
          <w:tcPr>
            <w:tcW w:w="1844" w:type="dxa"/>
            <w:gridSpan w:val="2"/>
            <w:shd w:val="clear" w:color="auto" w:fill="auto"/>
          </w:tcPr>
          <w:p w14:paraId="6DECB74D" w14:textId="77777777" w:rsidR="00E238FE" w:rsidRPr="002269DF" w:rsidRDefault="00E238FE" w:rsidP="006C1AE8">
            <w:pPr>
              <w:rPr>
                <w:rFonts w:ascii="Times New Roman" w:hAnsi="Times New Roman"/>
                <w:color w:val="000000"/>
                <w:lang w:eastAsia="pl-PL"/>
              </w:rPr>
            </w:pPr>
            <w:r w:rsidRPr="002269DF">
              <w:rPr>
                <w:rFonts w:ascii="Times New Roman" w:hAnsi="Times New Roman"/>
                <w:lang w:eastAsia="pl-PL"/>
              </w:rPr>
              <w:t>Przedsiębiorcy prowadzący obrót hurtowy w kraju napojami alkoholowymi o zawartości do 18% alkoholu</w:t>
            </w:r>
          </w:p>
        </w:tc>
        <w:tc>
          <w:tcPr>
            <w:tcW w:w="5244" w:type="dxa"/>
            <w:gridSpan w:val="16"/>
            <w:shd w:val="clear" w:color="auto" w:fill="auto"/>
          </w:tcPr>
          <w:p w14:paraId="2D40F61E" w14:textId="77777777" w:rsidR="00E238FE" w:rsidRPr="002269DF" w:rsidRDefault="00E238FE" w:rsidP="005E465E">
            <w:pPr>
              <w:spacing w:line="240" w:lineRule="auto"/>
              <w:jc w:val="both"/>
              <w:rPr>
                <w:rFonts w:ascii="Times New Roman" w:hAnsi="Times New Roman"/>
                <w:color w:val="000000"/>
                <w:spacing w:val="-2"/>
              </w:rPr>
            </w:pPr>
            <w:r w:rsidRPr="002269DF">
              <w:rPr>
                <w:rFonts w:ascii="Times New Roman" w:hAnsi="Times New Roman"/>
                <w:color w:val="000000"/>
                <w:spacing w:val="-2"/>
              </w:rPr>
              <w:t>1080</w:t>
            </w:r>
          </w:p>
          <w:p w14:paraId="302E9B2A" w14:textId="77777777" w:rsidR="00E238FE" w:rsidRPr="002269DF" w:rsidRDefault="00E238FE" w:rsidP="003E401E">
            <w:pPr>
              <w:spacing w:line="240" w:lineRule="auto"/>
              <w:jc w:val="both"/>
              <w:rPr>
                <w:rFonts w:ascii="Times New Roman" w:hAnsi="Times New Roman"/>
                <w:color w:val="000000"/>
                <w:spacing w:val="-2"/>
              </w:rPr>
            </w:pPr>
            <w:r w:rsidRPr="002269DF">
              <w:rPr>
                <w:rFonts w:ascii="Times New Roman" w:hAnsi="Times New Roman"/>
                <w:color w:val="000000"/>
                <w:spacing w:val="-2"/>
              </w:rPr>
              <w:t>(555 zezwoleń na obrót hurtowy napojami alkoholowymi o zawartości do 4,5% alkoholu oraz na piwo i 525 zezwoleń na obrót hurtowy napojami alkoholowymi o zawartości powyżej 4,5% do 18% alkoholu, z wyjątkiem piwa)</w:t>
            </w:r>
          </w:p>
        </w:tc>
        <w:tc>
          <w:tcPr>
            <w:tcW w:w="1701" w:type="dxa"/>
            <w:gridSpan w:val="7"/>
            <w:shd w:val="clear" w:color="auto" w:fill="auto"/>
          </w:tcPr>
          <w:p w14:paraId="070371ED" w14:textId="77777777" w:rsidR="00E238FE" w:rsidRPr="002269DF" w:rsidRDefault="00E238FE" w:rsidP="00495D6D">
            <w:pPr>
              <w:spacing w:line="240" w:lineRule="auto"/>
              <w:jc w:val="both"/>
              <w:rPr>
                <w:rFonts w:ascii="Times New Roman" w:hAnsi="Times New Roman"/>
                <w:color w:val="000000"/>
                <w:spacing w:val="-2"/>
              </w:rPr>
            </w:pPr>
            <w:r w:rsidRPr="002269DF">
              <w:rPr>
                <w:rFonts w:ascii="Times New Roman" w:hAnsi="Times New Roman"/>
                <w:color w:val="000000"/>
                <w:spacing w:val="-2"/>
              </w:rPr>
              <w:t>Ankieta W1 rozsyłana przez Państwową Agencję Rozwiązywania Problemów Alkoholowych do marszałków województw</w:t>
            </w:r>
          </w:p>
        </w:tc>
        <w:tc>
          <w:tcPr>
            <w:tcW w:w="2148" w:type="dxa"/>
            <w:gridSpan w:val="4"/>
            <w:shd w:val="clear" w:color="auto" w:fill="auto"/>
          </w:tcPr>
          <w:p w14:paraId="2A365882" w14:textId="59BAF049" w:rsidR="00E238FE" w:rsidRPr="002269DF" w:rsidRDefault="00605F52" w:rsidP="005E465E">
            <w:pPr>
              <w:autoSpaceDE w:val="0"/>
              <w:autoSpaceDN w:val="0"/>
              <w:adjustRightInd w:val="0"/>
              <w:spacing w:line="240" w:lineRule="auto"/>
              <w:rPr>
                <w:rFonts w:ascii="Times New Roman" w:hAnsi="Times New Roman"/>
              </w:rPr>
            </w:pPr>
            <w:r w:rsidRPr="002269DF">
              <w:rPr>
                <w:rFonts w:ascii="Times New Roman" w:hAnsi="Times New Roman"/>
              </w:rPr>
              <w:t>Z</w:t>
            </w:r>
            <w:r w:rsidR="00E238FE" w:rsidRPr="002269DF">
              <w:rPr>
                <w:rFonts w:ascii="Times New Roman" w:hAnsi="Times New Roman"/>
              </w:rPr>
              <w:t>mniejszenie liczby dokumentów przedkładanych do</w:t>
            </w:r>
            <w:r w:rsidR="009060D1">
              <w:rPr>
                <w:rFonts w:ascii="Times New Roman" w:hAnsi="Times New Roman"/>
              </w:rPr>
              <w:t> </w:t>
            </w:r>
            <w:r w:rsidR="00E238FE" w:rsidRPr="002269DF">
              <w:rPr>
                <w:rFonts w:ascii="Times New Roman" w:hAnsi="Times New Roman"/>
              </w:rPr>
              <w:t>wniosku o</w:t>
            </w:r>
            <w:r w:rsidR="009060D1">
              <w:rPr>
                <w:rFonts w:ascii="Times New Roman" w:hAnsi="Times New Roman"/>
              </w:rPr>
              <w:t> </w:t>
            </w:r>
            <w:r w:rsidR="00E238FE" w:rsidRPr="002269DF">
              <w:rPr>
                <w:rFonts w:ascii="Times New Roman" w:hAnsi="Times New Roman"/>
              </w:rPr>
              <w:t>wydanie zezwolenia,</w:t>
            </w:r>
          </w:p>
          <w:p w14:paraId="01EE2AAD" w14:textId="045D8E51" w:rsidR="00E238FE" w:rsidRPr="002269DF" w:rsidRDefault="00E238FE" w:rsidP="005E465E">
            <w:pPr>
              <w:autoSpaceDE w:val="0"/>
              <w:autoSpaceDN w:val="0"/>
              <w:adjustRightInd w:val="0"/>
              <w:spacing w:line="240" w:lineRule="auto"/>
              <w:rPr>
                <w:rFonts w:ascii="Times New Roman" w:hAnsi="Times New Roman"/>
              </w:rPr>
            </w:pPr>
            <w:r w:rsidRPr="002269DF">
              <w:rPr>
                <w:rFonts w:ascii="Times New Roman" w:hAnsi="Times New Roman"/>
              </w:rPr>
              <w:t>- brak konieczności składania informacji o wielkości sprzedaży za</w:t>
            </w:r>
            <w:r w:rsidR="009060D1">
              <w:rPr>
                <w:rFonts w:ascii="Times New Roman" w:hAnsi="Times New Roman"/>
              </w:rPr>
              <w:t> </w:t>
            </w:r>
            <w:r w:rsidRPr="002269DF">
              <w:rPr>
                <w:rFonts w:ascii="Times New Roman" w:hAnsi="Times New Roman"/>
              </w:rPr>
              <w:t>poprzedni rok,</w:t>
            </w:r>
          </w:p>
          <w:p w14:paraId="28E7F236" w14:textId="31440787" w:rsidR="00E238FE" w:rsidRPr="002269DF" w:rsidRDefault="00E238FE" w:rsidP="005E465E">
            <w:pPr>
              <w:autoSpaceDE w:val="0"/>
              <w:autoSpaceDN w:val="0"/>
              <w:adjustRightInd w:val="0"/>
              <w:spacing w:line="240" w:lineRule="auto"/>
              <w:rPr>
                <w:rFonts w:ascii="Times New Roman" w:hAnsi="Times New Roman"/>
              </w:rPr>
            </w:pPr>
            <w:r w:rsidRPr="002269DF">
              <w:rPr>
                <w:rFonts w:ascii="Times New Roman" w:hAnsi="Times New Roman"/>
              </w:rPr>
              <w:t>- brak konieczności wykazywania o</w:t>
            </w:r>
            <w:r w:rsidR="009060D1">
              <w:rPr>
                <w:rFonts w:ascii="Times New Roman" w:hAnsi="Times New Roman"/>
              </w:rPr>
              <w:t> </w:t>
            </w:r>
            <w:r w:rsidRPr="002269DF">
              <w:rPr>
                <w:rFonts w:ascii="Times New Roman" w:hAnsi="Times New Roman"/>
              </w:rPr>
              <w:t>niezaleganiu przez</w:t>
            </w:r>
            <w:r w:rsidR="009060D1">
              <w:rPr>
                <w:rFonts w:ascii="Times New Roman" w:hAnsi="Times New Roman"/>
              </w:rPr>
              <w:t> </w:t>
            </w:r>
            <w:r w:rsidRPr="002269DF">
              <w:rPr>
                <w:rFonts w:ascii="Times New Roman" w:hAnsi="Times New Roman"/>
              </w:rPr>
              <w:t>przedsiębiorcę z realizacją ciążących na nim zobowiązań podatkowych oraz</w:t>
            </w:r>
            <w:r w:rsidR="009060D1">
              <w:rPr>
                <w:rFonts w:ascii="Times New Roman" w:hAnsi="Times New Roman"/>
              </w:rPr>
              <w:t> </w:t>
            </w:r>
            <w:r w:rsidRPr="002269DF">
              <w:rPr>
                <w:rFonts w:ascii="Times New Roman" w:hAnsi="Times New Roman"/>
              </w:rPr>
              <w:t>wynikających z</w:t>
            </w:r>
            <w:r w:rsidR="009060D1">
              <w:rPr>
                <w:rFonts w:ascii="Times New Roman" w:hAnsi="Times New Roman"/>
              </w:rPr>
              <w:t> </w:t>
            </w:r>
            <w:r w:rsidRPr="002269DF">
              <w:rPr>
                <w:rFonts w:ascii="Times New Roman" w:hAnsi="Times New Roman"/>
              </w:rPr>
              <w:t>ubezpieczeń społecznych i</w:t>
            </w:r>
            <w:r w:rsidR="009060D1">
              <w:rPr>
                <w:rFonts w:ascii="Times New Roman" w:hAnsi="Times New Roman"/>
              </w:rPr>
              <w:t> </w:t>
            </w:r>
            <w:r w:rsidRPr="002269DF">
              <w:rPr>
                <w:rFonts w:ascii="Times New Roman" w:hAnsi="Times New Roman"/>
              </w:rPr>
              <w:t>zdrowotnych,</w:t>
            </w:r>
          </w:p>
          <w:p w14:paraId="6543C068" w14:textId="7E66824A" w:rsidR="00E238FE" w:rsidRPr="002269DF" w:rsidRDefault="00E238FE" w:rsidP="009060D1">
            <w:pPr>
              <w:autoSpaceDE w:val="0"/>
              <w:autoSpaceDN w:val="0"/>
              <w:adjustRightInd w:val="0"/>
              <w:spacing w:line="240" w:lineRule="auto"/>
              <w:rPr>
                <w:rFonts w:ascii="Times New Roman" w:hAnsi="Times New Roman"/>
              </w:rPr>
            </w:pPr>
            <w:r w:rsidRPr="002269DF">
              <w:rPr>
                <w:rFonts w:ascii="Times New Roman" w:hAnsi="Times New Roman"/>
              </w:rPr>
              <w:t>- zniesienie warunku prowadzenia działalności polegającego na</w:t>
            </w:r>
            <w:r w:rsidR="009060D1">
              <w:rPr>
                <w:rFonts w:ascii="Times New Roman" w:hAnsi="Times New Roman"/>
              </w:rPr>
              <w:t> </w:t>
            </w:r>
            <w:r w:rsidRPr="002269DF">
              <w:rPr>
                <w:rFonts w:ascii="Times New Roman" w:hAnsi="Times New Roman"/>
              </w:rPr>
              <w:t>przestrzeganiu innych warunków określonych w przepisach prawa.</w:t>
            </w:r>
          </w:p>
        </w:tc>
      </w:tr>
      <w:tr w:rsidR="00E238FE" w:rsidRPr="002269DF" w14:paraId="3E927CA3" w14:textId="77777777" w:rsidTr="003E401E">
        <w:trPr>
          <w:gridAfter w:val="1"/>
          <w:wAfter w:w="10" w:type="dxa"/>
          <w:trHeight w:val="2117"/>
        </w:trPr>
        <w:tc>
          <w:tcPr>
            <w:tcW w:w="1844" w:type="dxa"/>
            <w:gridSpan w:val="2"/>
            <w:shd w:val="clear" w:color="auto" w:fill="auto"/>
          </w:tcPr>
          <w:p w14:paraId="78936280" w14:textId="6300F783" w:rsidR="00E238FE" w:rsidRPr="002269DF" w:rsidRDefault="00E238FE" w:rsidP="009060D1">
            <w:pPr>
              <w:rPr>
                <w:rFonts w:ascii="Times New Roman" w:hAnsi="Times New Roman"/>
                <w:lang w:eastAsia="pl-PL"/>
              </w:rPr>
            </w:pPr>
            <w:r w:rsidRPr="002269DF">
              <w:rPr>
                <w:rFonts w:ascii="Times New Roman" w:hAnsi="Times New Roman"/>
                <w:lang w:eastAsia="pl-PL"/>
              </w:rPr>
              <w:t>Przedsiębiorcy prowadzący obrót hurtowy w kraju napojami alkoholowymi o</w:t>
            </w:r>
            <w:r w:rsidR="009060D1">
              <w:rPr>
                <w:rFonts w:ascii="Times New Roman" w:hAnsi="Times New Roman"/>
                <w:lang w:eastAsia="pl-PL"/>
              </w:rPr>
              <w:t> </w:t>
            </w:r>
            <w:r w:rsidRPr="002269DF">
              <w:rPr>
                <w:rFonts w:ascii="Times New Roman" w:hAnsi="Times New Roman"/>
                <w:lang w:eastAsia="pl-PL"/>
              </w:rPr>
              <w:t>zawartości powyżej 18% alkoholu (na</w:t>
            </w:r>
            <w:r w:rsidR="009060D1">
              <w:rPr>
                <w:rFonts w:ascii="Times New Roman" w:hAnsi="Times New Roman"/>
                <w:lang w:eastAsia="pl-PL"/>
              </w:rPr>
              <w:t> </w:t>
            </w:r>
            <w:r w:rsidRPr="002269DF">
              <w:rPr>
                <w:rFonts w:ascii="Times New Roman" w:hAnsi="Times New Roman"/>
                <w:lang w:eastAsia="pl-PL"/>
              </w:rPr>
              <w:t>podstawie zezwolenia z</w:t>
            </w:r>
            <w:r w:rsidR="009060D1">
              <w:rPr>
                <w:rFonts w:ascii="Times New Roman" w:hAnsi="Times New Roman"/>
                <w:lang w:eastAsia="pl-PL"/>
              </w:rPr>
              <w:t> </w:t>
            </w:r>
            <w:r w:rsidRPr="002269DF">
              <w:rPr>
                <w:rFonts w:ascii="Times New Roman" w:hAnsi="Times New Roman"/>
                <w:lang w:eastAsia="pl-PL"/>
              </w:rPr>
              <w:t>limitem w</w:t>
            </w:r>
            <w:r w:rsidR="009060D1">
              <w:rPr>
                <w:rFonts w:ascii="Times New Roman" w:hAnsi="Times New Roman"/>
                <w:lang w:eastAsia="pl-PL"/>
              </w:rPr>
              <w:t> </w:t>
            </w:r>
            <w:r w:rsidRPr="002269DF">
              <w:rPr>
                <w:rFonts w:ascii="Times New Roman" w:hAnsi="Times New Roman"/>
                <w:lang w:eastAsia="pl-PL"/>
              </w:rPr>
              <w:t>wysokości minimum 250 tys. litrów 100% alkoholu rocznie)</w:t>
            </w:r>
          </w:p>
        </w:tc>
        <w:tc>
          <w:tcPr>
            <w:tcW w:w="5244" w:type="dxa"/>
            <w:gridSpan w:val="16"/>
            <w:shd w:val="clear" w:color="auto" w:fill="auto"/>
          </w:tcPr>
          <w:p w14:paraId="4936D032" w14:textId="77777777" w:rsidR="00E238FE" w:rsidRPr="002269DF" w:rsidRDefault="00E238FE" w:rsidP="005E465E">
            <w:pPr>
              <w:spacing w:line="240" w:lineRule="auto"/>
              <w:jc w:val="both"/>
              <w:rPr>
                <w:rFonts w:ascii="Times New Roman" w:hAnsi="Times New Roman"/>
                <w:color w:val="000000"/>
                <w:spacing w:val="-2"/>
              </w:rPr>
            </w:pPr>
            <w:r w:rsidRPr="002269DF">
              <w:rPr>
                <w:rFonts w:ascii="Times New Roman" w:hAnsi="Times New Roman"/>
                <w:color w:val="000000"/>
                <w:spacing w:val="-2"/>
              </w:rPr>
              <w:t>323</w:t>
            </w:r>
          </w:p>
        </w:tc>
        <w:tc>
          <w:tcPr>
            <w:tcW w:w="1701" w:type="dxa"/>
            <w:gridSpan w:val="7"/>
            <w:shd w:val="clear" w:color="auto" w:fill="auto"/>
          </w:tcPr>
          <w:p w14:paraId="56DDE634" w14:textId="77777777" w:rsidR="00E238FE" w:rsidRPr="002269DF" w:rsidRDefault="00E238FE" w:rsidP="009060D1">
            <w:pPr>
              <w:spacing w:line="240" w:lineRule="auto"/>
              <w:rPr>
                <w:rFonts w:ascii="Times New Roman" w:hAnsi="Times New Roman"/>
                <w:color w:val="000000"/>
                <w:spacing w:val="-2"/>
              </w:rPr>
            </w:pPr>
            <w:r w:rsidRPr="002269DF">
              <w:rPr>
                <w:rFonts w:ascii="Times New Roman" w:hAnsi="Times New Roman"/>
                <w:color w:val="000000"/>
                <w:spacing w:val="-2"/>
              </w:rPr>
              <w:t>Rejestr zezwoleń wydanych od 1 stycznia 2016 r. do 31 grudnia 2016 r. prowadzony przez Departament Handlu i Usług w Ministerstwie Rozwoju</w:t>
            </w:r>
          </w:p>
        </w:tc>
        <w:tc>
          <w:tcPr>
            <w:tcW w:w="2148" w:type="dxa"/>
            <w:gridSpan w:val="4"/>
            <w:shd w:val="clear" w:color="auto" w:fill="auto"/>
          </w:tcPr>
          <w:p w14:paraId="19D54324" w14:textId="1099FE5A" w:rsidR="00E238FE" w:rsidRPr="002269DF" w:rsidRDefault="00667FA0" w:rsidP="005E465E">
            <w:pPr>
              <w:autoSpaceDE w:val="0"/>
              <w:autoSpaceDN w:val="0"/>
              <w:adjustRightInd w:val="0"/>
              <w:spacing w:line="240" w:lineRule="auto"/>
              <w:rPr>
                <w:rFonts w:ascii="Times New Roman" w:hAnsi="Times New Roman"/>
              </w:rPr>
            </w:pPr>
            <w:r w:rsidRPr="002269DF">
              <w:rPr>
                <w:rFonts w:ascii="Times New Roman" w:hAnsi="Times New Roman"/>
              </w:rPr>
              <w:t>Z</w:t>
            </w:r>
            <w:r w:rsidR="00E238FE" w:rsidRPr="002269DF">
              <w:rPr>
                <w:rFonts w:ascii="Times New Roman" w:hAnsi="Times New Roman"/>
              </w:rPr>
              <w:t>mniejszenie liczby dokumentów przedkładanych do</w:t>
            </w:r>
            <w:r w:rsidR="009060D1">
              <w:rPr>
                <w:rFonts w:ascii="Times New Roman" w:hAnsi="Times New Roman"/>
              </w:rPr>
              <w:t> </w:t>
            </w:r>
            <w:r w:rsidR="00E238FE" w:rsidRPr="002269DF">
              <w:rPr>
                <w:rFonts w:ascii="Times New Roman" w:hAnsi="Times New Roman"/>
              </w:rPr>
              <w:t>wniosku o</w:t>
            </w:r>
            <w:r w:rsidR="009060D1">
              <w:rPr>
                <w:rFonts w:ascii="Times New Roman" w:hAnsi="Times New Roman"/>
              </w:rPr>
              <w:t> </w:t>
            </w:r>
            <w:r w:rsidR="00E238FE" w:rsidRPr="002269DF">
              <w:rPr>
                <w:rFonts w:ascii="Times New Roman" w:hAnsi="Times New Roman"/>
              </w:rPr>
              <w:t>wydanie zezwolenia,</w:t>
            </w:r>
          </w:p>
          <w:p w14:paraId="257D8549" w14:textId="44158327" w:rsidR="00E238FE" w:rsidRPr="002269DF" w:rsidRDefault="00E238FE" w:rsidP="005E465E">
            <w:pPr>
              <w:autoSpaceDE w:val="0"/>
              <w:autoSpaceDN w:val="0"/>
              <w:adjustRightInd w:val="0"/>
              <w:spacing w:line="240" w:lineRule="auto"/>
              <w:rPr>
                <w:rFonts w:ascii="Times New Roman" w:hAnsi="Times New Roman"/>
              </w:rPr>
            </w:pPr>
            <w:r w:rsidRPr="002269DF">
              <w:rPr>
                <w:rFonts w:ascii="Times New Roman" w:hAnsi="Times New Roman"/>
              </w:rPr>
              <w:t>- umożliwienie przedsiębiorcy, posiadającemu zezwolenie na hurt (z</w:t>
            </w:r>
            <w:r w:rsidR="009060D1">
              <w:rPr>
                <w:rFonts w:ascii="Times New Roman" w:hAnsi="Times New Roman"/>
              </w:rPr>
              <w:t> </w:t>
            </w:r>
            <w:r w:rsidRPr="002269DF">
              <w:rPr>
                <w:rFonts w:ascii="Times New Roman" w:hAnsi="Times New Roman"/>
              </w:rPr>
              <w:t>limitem 250 tys. litrów) zaopatrywania statków, pociągów i</w:t>
            </w:r>
            <w:r w:rsidR="009060D1">
              <w:rPr>
                <w:rFonts w:ascii="Times New Roman" w:hAnsi="Times New Roman"/>
              </w:rPr>
              <w:t> </w:t>
            </w:r>
            <w:r w:rsidRPr="002269DF">
              <w:rPr>
                <w:rFonts w:ascii="Times New Roman" w:hAnsi="Times New Roman"/>
              </w:rPr>
              <w:t>samolotów w</w:t>
            </w:r>
            <w:r w:rsidR="009060D1">
              <w:rPr>
                <w:rFonts w:ascii="Times New Roman" w:hAnsi="Times New Roman"/>
              </w:rPr>
              <w:t> </w:t>
            </w:r>
            <w:r w:rsidRPr="002269DF">
              <w:rPr>
                <w:rFonts w:ascii="Times New Roman" w:hAnsi="Times New Roman"/>
              </w:rPr>
              <w:t>ramach jednego zezwolenia na obrót hurtowy,</w:t>
            </w:r>
          </w:p>
          <w:p w14:paraId="5B6F06C0" w14:textId="498892CA" w:rsidR="00E238FE" w:rsidRPr="002269DF" w:rsidRDefault="00E238FE" w:rsidP="005E465E">
            <w:pPr>
              <w:autoSpaceDE w:val="0"/>
              <w:autoSpaceDN w:val="0"/>
              <w:adjustRightInd w:val="0"/>
              <w:spacing w:line="240" w:lineRule="auto"/>
              <w:rPr>
                <w:rFonts w:ascii="Times New Roman" w:hAnsi="Times New Roman"/>
              </w:rPr>
            </w:pPr>
            <w:r w:rsidRPr="002269DF">
              <w:rPr>
                <w:rFonts w:ascii="Times New Roman" w:hAnsi="Times New Roman"/>
              </w:rPr>
              <w:t xml:space="preserve">- brak konieczności </w:t>
            </w:r>
            <w:r w:rsidRPr="002269DF">
              <w:rPr>
                <w:rFonts w:ascii="Times New Roman" w:hAnsi="Times New Roman"/>
              </w:rPr>
              <w:lastRenderedPageBreak/>
              <w:t>składania informacji o wielkości sprzedaży za</w:t>
            </w:r>
            <w:r w:rsidR="009060D1">
              <w:rPr>
                <w:rFonts w:ascii="Times New Roman" w:hAnsi="Times New Roman"/>
              </w:rPr>
              <w:t> </w:t>
            </w:r>
            <w:r w:rsidRPr="002269DF">
              <w:rPr>
                <w:rFonts w:ascii="Times New Roman" w:hAnsi="Times New Roman"/>
              </w:rPr>
              <w:t>poprzedni rok,</w:t>
            </w:r>
          </w:p>
          <w:p w14:paraId="4D62EDA8" w14:textId="60751CCA" w:rsidR="00E238FE" w:rsidRPr="002269DF" w:rsidRDefault="00E238FE" w:rsidP="005E465E">
            <w:pPr>
              <w:autoSpaceDE w:val="0"/>
              <w:autoSpaceDN w:val="0"/>
              <w:adjustRightInd w:val="0"/>
              <w:spacing w:line="240" w:lineRule="auto"/>
              <w:rPr>
                <w:rFonts w:ascii="Times New Roman" w:hAnsi="Times New Roman"/>
              </w:rPr>
            </w:pPr>
            <w:r w:rsidRPr="002269DF">
              <w:rPr>
                <w:rFonts w:ascii="Times New Roman" w:hAnsi="Times New Roman"/>
              </w:rPr>
              <w:t>- brak konieczności wykazywania o</w:t>
            </w:r>
            <w:r w:rsidR="009060D1">
              <w:rPr>
                <w:rFonts w:ascii="Times New Roman" w:hAnsi="Times New Roman"/>
              </w:rPr>
              <w:t> </w:t>
            </w:r>
            <w:r w:rsidRPr="002269DF">
              <w:rPr>
                <w:rFonts w:ascii="Times New Roman" w:hAnsi="Times New Roman"/>
              </w:rPr>
              <w:t>niezaleganiu przez</w:t>
            </w:r>
            <w:r w:rsidR="009060D1">
              <w:rPr>
                <w:rFonts w:ascii="Times New Roman" w:hAnsi="Times New Roman"/>
              </w:rPr>
              <w:t> </w:t>
            </w:r>
            <w:r w:rsidRPr="002269DF">
              <w:rPr>
                <w:rFonts w:ascii="Times New Roman" w:hAnsi="Times New Roman"/>
              </w:rPr>
              <w:t>przedsiębiorcę z realizacją ciążących na nim zobowiązań podatkowych oraz</w:t>
            </w:r>
            <w:r w:rsidR="009060D1">
              <w:rPr>
                <w:rFonts w:ascii="Times New Roman" w:hAnsi="Times New Roman"/>
              </w:rPr>
              <w:t> </w:t>
            </w:r>
            <w:r w:rsidRPr="002269DF">
              <w:rPr>
                <w:rFonts w:ascii="Times New Roman" w:hAnsi="Times New Roman"/>
              </w:rPr>
              <w:t>wynikających z</w:t>
            </w:r>
            <w:r w:rsidR="009060D1">
              <w:rPr>
                <w:rFonts w:ascii="Times New Roman" w:hAnsi="Times New Roman"/>
              </w:rPr>
              <w:t> </w:t>
            </w:r>
            <w:r w:rsidRPr="002269DF">
              <w:rPr>
                <w:rFonts w:ascii="Times New Roman" w:hAnsi="Times New Roman"/>
              </w:rPr>
              <w:t>ubezpieczeń społecznych i</w:t>
            </w:r>
            <w:r w:rsidR="009060D1">
              <w:rPr>
                <w:rFonts w:ascii="Times New Roman" w:hAnsi="Times New Roman"/>
              </w:rPr>
              <w:t> </w:t>
            </w:r>
            <w:r w:rsidRPr="002269DF">
              <w:rPr>
                <w:rFonts w:ascii="Times New Roman" w:hAnsi="Times New Roman"/>
              </w:rPr>
              <w:t>zdrowotnych,</w:t>
            </w:r>
          </w:p>
          <w:p w14:paraId="6744342C" w14:textId="792EB663" w:rsidR="00E238FE" w:rsidRPr="002269DF" w:rsidRDefault="00E238FE" w:rsidP="009060D1">
            <w:pPr>
              <w:autoSpaceDE w:val="0"/>
              <w:autoSpaceDN w:val="0"/>
              <w:adjustRightInd w:val="0"/>
              <w:spacing w:line="240" w:lineRule="auto"/>
              <w:rPr>
                <w:rFonts w:ascii="Times New Roman" w:hAnsi="Times New Roman"/>
              </w:rPr>
            </w:pPr>
            <w:r w:rsidRPr="002269DF">
              <w:rPr>
                <w:rFonts w:ascii="Times New Roman" w:hAnsi="Times New Roman"/>
              </w:rPr>
              <w:t>- zniesienie warunku prowadzenia działalności polegającego na</w:t>
            </w:r>
            <w:r w:rsidR="009060D1">
              <w:rPr>
                <w:rFonts w:ascii="Times New Roman" w:hAnsi="Times New Roman"/>
              </w:rPr>
              <w:t> </w:t>
            </w:r>
            <w:r w:rsidRPr="002269DF">
              <w:rPr>
                <w:rFonts w:ascii="Times New Roman" w:hAnsi="Times New Roman"/>
              </w:rPr>
              <w:t>przestrzeganiu innych warunków określonych w przepisach prawa.</w:t>
            </w:r>
          </w:p>
        </w:tc>
      </w:tr>
      <w:tr w:rsidR="00E238FE" w:rsidRPr="002269DF" w14:paraId="1089EC18" w14:textId="77777777" w:rsidTr="003E401E">
        <w:trPr>
          <w:gridAfter w:val="1"/>
          <w:wAfter w:w="10" w:type="dxa"/>
          <w:trHeight w:val="2117"/>
        </w:trPr>
        <w:tc>
          <w:tcPr>
            <w:tcW w:w="1844" w:type="dxa"/>
            <w:gridSpan w:val="2"/>
            <w:shd w:val="clear" w:color="auto" w:fill="auto"/>
          </w:tcPr>
          <w:p w14:paraId="14C44E56" w14:textId="0385D5C9" w:rsidR="00E238FE" w:rsidRPr="002269DF" w:rsidRDefault="00E238FE" w:rsidP="006C1AE8">
            <w:pPr>
              <w:rPr>
                <w:rFonts w:ascii="Times New Roman" w:hAnsi="Times New Roman"/>
                <w:color w:val="000000"/>
                <w:lang w:eastAsia="pl-PL"/>
              </w:rPr>
            </w:pPr>
            <w:r w:rsidRPr="002269DF">
              <w:rPr>
                <w:rFonts w:ascii="Times New Roman" w:hAnsi="Times New Roman"/>
                <w:color w:val="000000"/>
                <w:lang w:eastAsia="pl-PL"/>
              </w:rPr>
              <w:lastRenderedPageBreak/>
              <w:t>Przedsiębiorcy</w:t>
            </w:r>
            <w:r w:rsidR="00386768" w:rsidRPr="002269DF">
              <w:rPr>
                <w:rFonts w:ascii="Times New Roman" w:hAnsi="Times New Roman"/>
                <w:color w:val="000000"/>
                <w:lang w:eastAsia="pl-PL"/>
              </w:rPr>
              <w:t>,</w:t>
            </w:r>
            <w:r w:rsidRPr="002269DF">
              <w:rPr>
                <w:rFonts w:ascii="Times New Roman" w:hAnsi="Times New Roman"/>
                <w:color w:val="000000"/>
                <w:lang w:eastAsia="pl-PL"/>
              </w:rPr>
              <w:t xml:space="preserve"> którym udzielono zezwolenia na</w:t>
            </w:r>
            <w:r w:rsidR="009060D1">
              <w:rPr>
                <w:rFonts w:ascii="Times New Roman" w:hAnsi="Times New Roman"/>
                <w:color w:val="000000"/>
                <w:lang w:eastAsia="pl-PL"/>
              </w:rPr>
              <w:t> </w:t>
            </w:r>
            <w:r w:rsidRPr="002269DF">
              <w:rPr>
                <w:rFonts w:ascii="Times New Roman" w:hAnsi="Times New Roman"/>
                <w:color w:val="000000"/>
                <w:lang w:eastAsia="pl-PL"/>
              </w:rPr>
              <w:t>sprzedaż alkoholu</w:t>
            </w:r>
          </w:p>
          <w:p w14:paraId="49FDF9E8" w14:textId="77777777" w:rsidR="00E238FE" w:rsidRPr="002269DF" w:rsidRDefault="00E238FE" w:rsidP="006C1AE8">
            <w:pPr>
              <w:rPr>
                <w:rFonts w:ascii="Times New Roman" w:hAnsi="Times New Roman"/>
                <w:color w:val="000000"/>
                <w:lang w:eastAsia="pl-PL"/>
              </w:rPr>
            </w:pPr>
          </w:p>
          <w:p w14:paraId="2F6909C1" w14:textId="77777777" w:rsidR="00E238FE" w:rsidRPr="002269DF" w:rsidRDefault="00E238FE" w:rsidP="006C1AE8">
            <w:pPr>
              <w:rPr>
                <w:rFonts w:ascii="Times New Roman" w:hAnsi="Times New Roman"/>
                <w:color w:val="000000"/>
                <w:lang w:eastAsia="pl-PL"/>
              </w:rPr>
            </w:pPr>
          </w:p>
          <w:p w14:paraId="6BA80E19" w14:textId="77777777" w:rsidR="00E238FE" w:rsidRPr="002269DF" w:rsidRDefault="00E238FE" w:rsidP="006C1AE8">
            <w:pPr>
              <w:rPr>
                <w:rFonts w:ascii="Times New Roman" w:hAnsi="Times New Roman"/>
                <w:color w:val="000000"/>
                <w:lang w:eastAsia="pl-PL"/>
              </w:rPr>
            </w:pPr>
          </w:p>
          <w:p w14:paraId="6FD0C18C" w14:textId="77777777" w:rsidR="00E238FE" w:rsidRPr="002269DF" w:rsidRDefault="00E238FE" w:rsidP="00264B51">
            <w:pPr>
              <w:jc w:val="both"/>
              <w:rPr>
                <w:rFonts w:ascii="Times New Roman" w:hAnsi="Times New Roman"/>
                <w:lang w:eastAsia="pl-PL"/>
              </w:rPr>
            </w:pPr>
          </w:p>
        </w:tc>
        <w:tc>
          <w:tcPr>
            <w:tcW w:w="5244" w:type="dxa"/>
            <w:gridSpan w:val="16"/>
            <w:shd w:val="clear" w:color="auto" w:fill="auto"/>
          </w:tcPr>
          <w:p w14:paraId="369E02B5" w14:textId="77777777" w:rsidR="00E238FE" w:rsidRPr="002269DF" w:rsidRDefault="00E238FE" w:rsidP="005E465E">
            <w:pPr>
              <w:jc w:val="both"/>
              <w:rPr>
                <w:rFonts w:ascii="Times New Roman" w:hAnsi="Times New Roman"/>
                <w:color w:val="000000"/>
                <w:spacing w:val="-2"/>
              </w:rPr>
            </w:pPr>
            <w:r w:rsidRPr="002269DF">
              <w:rPr>
                <w:rFonts w:ascii="Times New Roman" w:hAnsi="Times New Roman"/>
                <w:color w:val="000000"/>
                <w:spacing w:val="-2"/>
              </w:rPr>
              <w:t>325,519 tys. ważnych zezwoleń w 2014 r</w:t>
            </w:r>
          </w:p>
          <w:p w14:paraId="66DAB47D" w14:textId="77777777" w:rsidR="00E238FE" w:rsidRPr="002269DF" w:rsidRDefault="00E238FE" w:rsidP="005E465E">
            <w:pPr>
              <w:jc w:val="both"/>
              <w:rPr>
                <w:rFonts w:ascii="Times New Roman" w:hAnsi="Times New Roman"/>
                <w:color w:val="000000"/>
                <w:spacing w:val="-2"/>
              </w:rPr>
            </w:pPr>
          </w:p>
          <w:p w14:paraId="6F4B1E56" w14:textId="77777777" w:rsidR="00E238FE" w:rsidRPr="002269DF" w:rsidRDefault="00E238FE" w:rsidP="005E465E">
            <w:pPr>
              <w:jc w:val="both"/>
              <w:rPr>
                <w:rFonts w:ascii="Times New Roman" w:hAnsi="Times New Roman"/>
                <w:color w:val="000000"/>
                <w:spacing w:val="-2"/>
              </w:rPr>
            </w:pPr>
          </w:p>
          <w:p w14:paraId="2FD7BDE8" w14:textId="77777777" w:rsidR="00E238FE" w:rsidRPr="002269DF" w:rsidRDefault="00E238FE" w:rsidP="005E465E">
            <w:pPr>
              <w:jc w:val="both"/>
              <w:rPr>
                <w:rFonts w:ascii="Times New Roman" w:hAnsi="Times New Roman"/>
                <w:color w:val="000000"/>
                <w:spacing w:val="-2"/>
              </w:rPr>
            </w:pPr>
          </w:p>
          <w:p w14:paraId="029D4015" w14:textId="77777777" w:rsidR="00E238FE" w:rsidRPr="002269DF" w:rsidRDefault="00E238FE" w:rsidP="005E465E">
            <w:pPr>
              <w:jc w:val="both"/>
              <w:rPr>
                <w:rFonts w:ascii="Times New Roman" w:hAnsi="Times New Roman"/>
                <w:color w:val="000000"/>
                <w:spacing w:val="-2"/>
              </w:rPr>
            </w:pPr>
          </w:p>
          <w:p w14:paraId="65B00E17" w14:textId="77777777" w:rsidR="00E238FE" w:rsidRPr="002269DF" w:rsidRDefault="00E238FE" w:rsidP="005E465E">
            <w:pPr>
              <w:jc w:val="both"/>
              <w:rPr>
                <w:rFonts w:ascii="Times New Roman" w:hAnsi="Times New Roman"/>
                <w:color w:val="000000"/>
                <w:spacing w:val="-2"/>
              </w:rPr>
            </w:pPr>
          </w:p>
          <w:p w14:paraId="2E19657F" w14:textId="77777777" w:rsidR="00E238FE" w:rsidRPr="002269DF" w:rsidRDefault="00E238FE" w:rsidP="005E465E">
            <w:pPr>
              <w:jc w:val="both"/>
              <w:rPr>
                <w:rFonts w:ascii="Times New Roman" w:hAnsi="Times New Roman"/>
                <w:color w:val="000000"/>
                <w:spacing w:val="-2"/>
              </w:rPr>
            </w:pPr>
          </w:p>
          <w:p w14:paraId="1F577B27" w14:textId="77777777" w:rsidR="00E238FE" w:rsidRPr="002269DF" w:rsidRDefault="00E238FE" w:rsidP="005E465E">
            <w:pPr>
              <w:spacing w:line="240" w:lineRule="auto"/>
              <w:jc w:val="both"/>
              <w:rPr>
                <w:rFonts w:ascii="Times New Roman" w:hAnsi="Times New Roman"/>
                <w:color w:val="000000"/>
                <w:spacing w:val="-2"/>
              </w:rPr>
            </w:pPr>
          </w:p>
        </w:tc>
        <w:tc>
          <w:tcPr>
            <w:tcW w:w="1701" w:type="dxa"/>
            <w:gridSpan w:val="7"/>
            <w:shd w:val="clear" w:color="auto" w:fill="auto"/>
          </w:tcPr>
          <w:p w14:paraId="7A1C3B9D" w14:textId="177C5CF9" w:rsidR="00E238FE" w:rsidRPr="002269DF" w:rsidRDefault="00E238FE" w:rsidP="009060D1">
            <w:pPr>
              <w:spacing w:line="240" w:lineRule="auto"/>
              <w:rPr>
                <w:rFonts w:ascii="Times New Roman" w:hAnsi="Times New Roman"/>
                <w:color w:val="000000"/>
                <w:spacing w:val="-2"/>
              </w:rPr>
            </w:pPr>
            <w:r w:rsidRPr="002269DF">
              <w:rPr>
                <w:rFonts w:ascii="Times New Roman" w:hAnsi="Times New Roman"/>
                <w:color w:val="000000"/>
                <w:spacing w:val="-2"/>
              </w:rPr>
              <w:t>Sprawozdanie Rady Ministrów z wykonania ustawy o</w:t>
            </w:r>
            <w:r w:rsidR="009060D1">
              <w:rPr>
                <w:rFonts w:ascii="Times New Roman" w:hAnsi="Times New Roman"/>
                <w:color w:val="000000"/>
                <w:spacing w:val="-2"/>
              </w:rPr>
              <w:t> </w:t>
            </w:r>
            <w:r w:rsidRPr="002269DF">
              <w:rPr>
                <w:rFonts w:ascii="Times New Roman" w:hAnsi="Times New Roman"/>
                <w:color w:val="000000"/>
                <w:spacing w:val="-2"/>
              </w:rPr>
              <w:t>wychowaniu w</w:t>
            </w:r>
            <w:r w:rsidR="009060D1">
              <w:rPr>
                <w:rFonts w:ascii="Times New Roman" w:hAnsi="Times New Roman"/>
                <w:color w:val="000000"/>
                <w:spacing w:val="-2"/>
              </w:rPr>
              <w:t> </w:t>
            </w:r>
            <w:r w:rsidRPr="002269DF">
              <w:rPr>
                <w:rFonts w:ascii="Times New Roman" w:hAnsi="Times New Roman"/>
                <w:color w:val="000000"/>
                <w:spacing w:val="-2"/>
              </w:rPr>
              <w:t>trzeźwości i przeciwdziałaniu  alkoholizmowi za 2014 r z 20 stycznia 2016 r.</w:t>
            </w:r>
          </w:p>
        </w:tc>
        <w:tc>
          <w:tcPr>
            <w:tcW w:w="2148" w:type="dxa"/>
            <w:gridSpan w:val="4"/>
            <w:shd w:val="clear" w:color="auto" w:fill="auto"/>
          </w:tcPr>
          <w:p w14:paraId="2827FBEF" w14:textId="4B344435" w:rsidR="00E238FE" w:rsidRPr="002269DF" w:rsidRDefault="00E238FE" w:rsidP="005E465E">
            <w:pPr>
              <w:autoSpaceDE w:val="0"/>
              <w:autoSpaceDN w:val="0"/>
              <w:adjustRightInd w:val="0"/>
              <w:spacing w:line="240" w:lineRule="auto"/>
              <w:rPr>
                <w:rFonts w:ascii="Times New Roman" w:hAnsi="Times New Roman"/>
                <w:spacing w:val="-2"/>
              </w:rPr>
            </w:pPr>
            <w:r w:rsidRPr="002269DF">
              <w:rPr>
                <w:rFonts w:ascii="Times New Roman" w:hAnsi="Times New Roman"/>
              </w:rPr>
              <w:t>Wskazanie możliwości jednorazowego wniesienia opłaty za</w:t>
            </w:r>
            <w:r w:rsidR="009060D1">
              <w:rPr>
                <w:rFonts w:ascii="Times New Roman" w:hAnsi="Times New Roman"/>
              </w:rPr>
              <w:t> </w:t>
            </w:r>
            <w:r w:rsidRPr="002269DF">
              <w:rPr>
                <w:rFonts w:ascii="Times New Roman" w:hAnsi="Times New Roman"/>
              </w:rPr>
              <w:t>korzystanie z</w:t>
            </w:r>
            <w:r w:rsidR="009060D1">
              <w:rPr>
                <w:rFonts w:ascii="Times New Roman" w:hAnsi="Times New Roman"/>
              </w:rPr>
              <w:t> </w:t>
            </w:r>
            <w:r w:rsidRPr="002269DF">
              <w:rPr>
                <w:rFonts w:ascii="Times New Roman" w:hAnsi="Times New Roman"/>
              </w:rPr>
              <w:t>zezwolenia na</w:t>
            </w:r>
            <w:r w:rsidR="009060D1">
              <w:rPr>
                <w:rFonts w:ascii="Times New Roman" w:hAnsi="Times New Roman"/>
              </w:rPr>
              <w:t> </w:t>
            </w:r>
            <w:r w:rsidRPr="002269DF">
              <w:rPr>
                <w:rFonts w:ascii="Times New Roman" w:hAnsi="Times New Roman"/>
              </w:rPr>
              <w:t>sprzedaż alkoholu</w:t>
            </w:r>
          </w:p>
          <w:p w14:paraId="036D3B55" w14:textId="77777777" w:rsidR="00E238FE" w:rsidRPr="002269DF" w:rsidRDefault="00E238FE" w:rsidP="005E465E">
            <w:pPr>
              <w:autoSpaceDE w:val="0"/>
              <w:autoSpaceDN w:val="0"/>
              <w:adjustRightInd w:val="0"/>
              <w:spacing w:line="240" w:lineRule="auto"/>
              <w:rPr>
                <w:rFonts w:ascii="Times New Roman" w:hAnsi="Times New Roman"/>
              </w:rPr>
            </w:pPr>
          </w:p>
        </w:tc>
      </w:tr>
      <w:tr w:rsidR="00E238FE" w:rsidRPr="002269DF" w14:paraId="42A26BBC" w14:textId="77777777" w:rsidTr="00676C8D">
        <w:trPr>
          <w:gridAfter w:val="1"/>
          <w:wAfter w:w="10" w:type="dxa"/>
          <w:trHeight w:val="302"/>
        </w:trPr>
        <w:tc>
          <w:tcPr>
            <w:tcW w:w="10937" w:type="dxa"/>
            <w:gridSpan w:val="29"/>
            <w:shd w:val="clear" w:color="auto" w:fill="99CCFF"/>
            <w:vAlign w:val="center"/>
          </w:tcPr>
          <w:p w14:paraId="163321BF" w14:textId="77777777" w:rsidR="00E238FE" w:rsidRPr="002269DF" w:rsidRDefault="00E238FE" w:rsidP="00F9516F">
            <w:pPr>
              <w:numPr>
                <w:ilvl w:val="0"/>
                <w:numId w:val="1"/>
              </w:numPr>
              <w:spacing w:before="60" w:after="60" w:line="240" w:lineRule="auto"/>
              <w:ind w:left="318" w:hanging="284"/>
              <w:jc w:val="both"/>
              <w:rPr>
                <w:rFonts w:ascii="Times New Roman" w:hAnsi="Times New Roman"/>
                <w:b/>
              </w:rPr>
            </w:pPr>
            <w:r w:rsidRPr="002269DF">
              <w:rPr>
                <w:rFonts w:ascii="Times New Roman" w:hAnsi="Times New Roman"/>
                <w:b/>
              </w:rPr>
              <w:t xml:space="preserve">Informacje na temat zakresu, czasu trwania i podsumowanie wyników konsultacji </w:t>
            </w:r>
          </w:p>
        </w:tc>
      </w:tr>
      <w:tr w:rsidR="00E238FE" w:rsidRPr="002269DF" w14:paraId="54CE0C4C" w14:textId="77777777" w:rsidTr="00676C8D">
        <w:trPr>
          <w:gridAfter w:val="1"/>
          <w:wAfter w:w="10" w:type="dxa"/>
          <w:trHeight w:val="342"/>
        </w:trPr>
        <w:tc>
          <w:tcPr>
            <w:tcW w:w="10937" w:type="dxa"/>
            <w:gridSpan w:val="29"/>
            <w:shd w:val="clear" w:color="auto" w:fill="FFFFFF"/>
          </w:tcPr>
          <w:p w14:paraId="1FF50AD9" w14:textId="77777777" w:rsidR="00C16DEF" w:rsidRPr="002269DF" w:rsidRDefault="00C16DEF" w:rsidP="00C16DEF">
            <w:pPr>
              <w:autoSpaceDE w:val="0"/>
              <w:autoSpaceDN w:val="0"/>
              <w:adjustRightInd w:val="0"/>
              <w:spacing w:after="120" w:line="240" w:lineRule="auto"/>
              <w:jc w:val="both"/>
              <w:rPr>
                <w:rFonts w:ascii="Times New Roman" w:hAnsi="Times New Roman"/>
                <w:spacing w:val="-2"/>
              </w:rPr>
            </w:pPr>
            <w:r w:rsidRPr="002269DF">
              <w:rPr>
                <w:rFonts w:ascii="Times New Roman" w:hAnsi="Times New Roman"/>
                <w:spacing w:val="-2"/>
              </w:rPr>
              <w:t xml:space="preserve">Nie przeprowadzono konsultacji poprzedzających opracowanie projektu w zakresie proponowanych zmian w prawie gospodarczym i podatkowym. </w:t>
            </w:r>
          </w:p>
          <w:p w14:paraId="16ADF356" w14:textId="77777777" w:rsidR="00C16DEF" w:rsidRPr="002269DF" w:rsidRDefault="00C16DEF" w:rsidP="00C16DEF">
            <w:pPr>
              <w:spacing w:line="240" w:lineRule="auto"/>
              <w:jc w:val="both"/>
              <w:rPr>
                <w:rFonts w:ascii="Times New Roman" w:hAnsi="Times New Roman"/>
                <w:spacing w:val="-2"/>
              </w:rPr>
            </w:pPr>
            <w:r>
              <w:rPr>
                <w:rFonts w:ascii="Times New Roman" w:hAnsi="Times New Roman"/>
                <w:spacing w:val="-2"/>
              </w:rPr>
              <w:t>Zostaną przeprowadzone szerokie konsultacje publiczne</w:t>
            </w:r>
            <w:r w:rsidRPr="002269DF">
              <w:rPr>
                <w:rFonts w:ascii="Times New Roman" w:hAnsi="Times New Roman"/>
                <w:spacing w:val="-2"/>
              </w:rPr>
              <w:t xml:space="preserve"> projektu, w tym z reprezentatywnymi organizacjami przedsiębiorców i pracodawców oraz reprezentatywnymi organizacjami związkowymi</w:t>
            </w:r>
            <w:r>
              <w:rPr>
                <w:rFonts w:ascii="Times New Roman" w:hAnsi="Times New Roman"/>
                <w:spacing w:val="-2"/>
              </w:rPr>
              <w:t>. Lista podmiotów, którym projekt zostanie wysłany do konsultacji, opiniowania zawarta została w rozdzielnikach do pism przewodnich. Projekt zostanie też przekazany do konsultacji organizacjom reprezentującym</w:t>
            </w:r>
            <w:r w:rsidRPr="002269DF">
              <w:rPr>
                <w:rFonts w:ascii="Times New Roman" w:hAnsi="Times New Roman"/>
                <w:spacing w:val="-2"/>
              </w:rPr>
              <w:t xml:space="preserve"> samorząd terytorialny</w:t>
            </w:r>
            <w:r>
              <w:rPr>
                <w:rFonts w:ascii="Times New Roman" w:hAnsi="Times New Roman"/>
                <w:spacing w:val="-2"/>
              </w:rPr>
              <w:t xml:space="preserve">. Na kolejnym etapie prac projekt zostanie też przekazany do Komisji Wspólnej Rządu i Samorządu Terytorialnego. W ramach rozdzielnika do konsultacji projekt uwzględnia również kilkadziesiąt podmiotów </w:t>
            </w:r>
            <w:r w:rsidRPr="002269DF">
              <w:rPr>
                <w:rFonts w:ascii="Times New Roman" w:hAnsi="Times New Roman"/>
                <w:spacing w:val="-2"/>
              </w:rPr>
              <w:t xml:space="preserve">z wykazu znajdującego się na stronie: </w:t>
            </w:r>
          </w:p>
          <w:p w14:paraId="2A5CEF2E" w14:textId="77777777" w:rsidR="00C16DEF" w:rsidRPr="002269DF" w:rsidRDefault="00C16DEF" w:rsidP="00C16DEF">
            <w:pPr>
              <w:spacing w:line="240" w:lineRule="auto"/>
              <w:jc w:val="both"/>
              <w:rPr>
                <w:rFonts w:ascii="Times New Roman" w:hAnsi="Times New Roman"/>
                <w:spacing w:val="-2"/>
              </w:rPr>
            </w:pPr>
            <w:r w:rsidRPr="002269DF">
              <w:rPr>
                <w:rFonts w:ascii="Times New Roman" w:hAnsi="Times New Roman"/>
                <w:spacing w:val="-2"/>
              </w:rPr>
              <w:t>https://www.mr.gov.pl/strony/ministerstwo/wspolpraca-z-organizacjami-pozarzadowymi/konsultacje-publiczne/</w:t>
            </w:r>
          </w:p>
          <w:p w14:paraId="4A506F62" w14:textId="77777777" w:rsidR="00C16DEF" w:rsidRPr="002269DF" w:rsidRDefault="00C16DEF" w:rsidP="00C16DEF">
            <w:pPr>
              <w:spacing w:before="120" w:line="240" w:lineRule="auto"/>
              <w:jc w:val="both"/>
              <w:rPr>
                <w:rFonts w:ascii="Times New Roman" w:hAnsi="Times New Roman"/>
                <w:spacing w:val="-2"/>
              </w:rPr>
            </w:pPr>
            <w:r w:rsidRPr="002269DF">
              <w:rPr>
                <w:rFonts w:ascii="Times New Roman" w:hAnsi="Times New Roman"/>
                <w:spacing w:val="-2"/>
              </w:rPr>
              <w:t xml:space="preserve">Projekt </w:t>
            </w:r>
            <w:r>
              <w:rPr>
                <w:rFonts w:ascii="Times New Roman" w:hAnsi="Times New Roman"/>
                <w:spacing w:val="-2"/>
              </w:rPr>
              <w:t>został</w:t>
            </w:r>
            <w:r w:rsidRPr="002269DF">
              <w:rPr>
                <w:rFonts w:ascii="Times New Roman" w:hAnsi="Times New Roman"/>
                <w:spacing w:val="-2"/>
              </w:rPr>
              <w:t xml:space="preserve"> opublikowany na stronie BIP RCL, zgodnie z Regulaminem pracy Rady Ministrów. </w:t>
            </w:r>
          </w:p>
          <w:p w14:paraId="05D4EE7E" w14:textId="0ACDDADF" w:rsidR="00E238FE" w:rsidRPr="002269DF" w:rsidRDefault="00C16DEF" w:rsidP="00C16DEF">
            <w:pPr>
              <w:autoSpaceDE w:val="0"/>
              <w:autoSpaceDN w:val="0"/>
              <w:adjustRightInd w:val="0"/>
              <w:spacing w:after="120" w:line="240" w:lineRule="auto"/>
              <w:jc w:val="both"/>
              <w:rPr>
                <w:rFonts w:ascii="Times New Roman" w:hAnsi="Times New Roman"/>
                <w:spacing w:val="-2"/>
              </w:rPr>
            </w:pPr>
            <w:r>
              <w:rPr>
                <w:rFonts w:ascii="Times New Roman" w:hAnsi="Times New Roman"/>
                <w:spacing w:val="-2"/>
              </w:rPr>
              <w:t>Projekt został wysłany do konsultacji publicznych pod koniec września 2017 r. T</w:t>
            </w:r>
            <w:r w:rsidRPr="002269DF">
              <w:rPr>
                <w:rFonts w:ascii="Times New Roman" w:hAnsi="Times New Roman"/>
                <w:spacing w:val="-2"/>
              </w:rPr>
              <w:t xml:space="preserve">ermin konsultacji publicznych będzie wynosił </w:t>
            </w:r>
            <w:r>
              <w:rPr>
                <w:rFonts w:ascii="Times New Roman" w:hAnsi="Times New Roman"/>
                <w:spacing w:val="-2"/>
              </w:rPr>
              <w:t xml:space="preserve">30 dni dla związków zawodowych i Rady Dialogu Społecznego oraz </w:t>
            </w:r>
            <w:r w:rsidRPr="002269DF">
              <w:rPr>
                <w:rFonts w:ascii="Times New Roman" w:hAnsi="Times New Roman"/>
                <w:spacing w:val="-2"/>
              </w:rPr>
              <w:t>21 dni</w:t>
            </w:r>
            <w:r>
              <w:rPr>
                <w:rFonts w:ascii="Times New Roman" w:hAnsi="Times New Roman"/>
                <w:spacing w:val="-2"/>
              </w:rPr>
              <w:t xml:space="preserve"> dla pozostałych podmiotów</w:t>
            </w:r>
            <w:r w:rsidRPr="002269DF">
              <w:rPr>
                <w:rFonts w:ascii="Times New Roman" w:hAnsi="Times New Roman"/>
                <w:spacing w:val="-2"/>
              </w:rPr>
              <w:t>.</w:t>
            </w:r>
          </w:p>
        </w:tc>
      </w:tr>
      <w:tr w:rsidR="00E238FE" w:rsidRPr="002269DF" w14:paraId="36836C98" w14:textId="77777777" w:rsidTr="00676C8D">
        <w:trPr>
          <w:gridAfter w:val="1"/>
          <w:wAfter w:w="10" w:type="dxa"/>
          <w:trHeight w:val="363"/>
        </w:trPr>
        <w:tc>
          <w:tcPr>
            <w:tcW w:w="10937" w:type="dxa"/>
            <w:gridSpan w:val="29"/>
            <w:shd w:val="clear" w:color="auto" w:fill="99CCFF"/>
            <w:vAlign w:val="center"/>
          </w:tcPr>
          <w:p w14:paraId="7FBAA61C" w14:textId="77777777" w:rsidR="00E238FE" w:rsidRPr="002269DF" w:rsidRDefault="00E238FE" w:rsidP="00F9516F">
            <w:pPr>
              <w:numPr>
                <w:ilvl w:val="0"/>
                <w:numId w:val="1"/>
              </w:numPr>
              <w:spacing w:before="60" w:after="60" w:line="240" w:lineRule="auto"/>
              <w:ind w:left="318" w:hanging="284"/>
              <w:jc w:val="both"/>
              <w:rPr>
                <w:rFonts w:ascii="Times New Roman" w:hAnsi="Times New Roman"/>
                <w:b/>
              </w:rPr>
            </w:pPr>
            <w:r w:rsidRPr="002269DF">
              <w:rPr>
                <w:rFonts w:ascii="Times New Roman" w:hAnsi="Times New Roman"/>
                <w:b/>
              </w:rPr>
              <w:t xml:space="preserve"> Wpływ na sektor finansów publicznych</w:t>
            </w:r>
          </w:p>
        </w:tc>
      </w:tr>
      <w:tr w:rsidR="00E238FE" w:rsidRPr="002269DF" w14:paraId="79BD71FB" w14:textId="77777777" w:rsidTr="00676C8D">
        <w:trPr>
          <w:gridAfter w:val="1"/>
          <w:wAfter w:w="10" w:type="dxa"/>
          <w:trHeight w:val="142"/>
        </w:trPr>
        <w:tc>
          <w:tcPr>
            <w:tcW w:w="3133" w:type="dxa"/>
            <w:gridSpan w:val="4"/>
            <w:vMerge w:val="restart"/>
            <w:shd w:val="clear" w:color="auto" w:fill="FFFFFF"/>
          </w:tcPr>
          <w:p w14:paraId="6AE9D6C3" w14:textId="77777777" w:rsidR="00E238FE" w:rsidRPr="002269DF" w:rsidRDefault="00E238FE" w:rsidP="00D75DD2">
            <w:pPr>
              <w:spacing w:before="40" w:after="40" w:line="240" w:lineRule="auto"/>
              <w:rPr>
                <w:rFonts w:ascii="Times New Roman" w:hAnsi="Times New Roman"/>
              </w:rPr>
            </w:pPr>
            <w:r w:rsidRPr="002269DF">
              <w:rPr>
                <w:rFonts w:ascii="Times New Roman" w:hAnsi="Times New Roman"/>
              </w:rPr>
              <w:t>ceny stałe z 2015 r.</w:t>
            </w:r>
          </w:p>
        </w:tc>
        <w:tc>
          <w:tcPr>
            <w:tcW w:w="7804" w:type="dxa"/>
            <w:gridSpan w:val="25"/>
            <w:shd w:val="clear" w:color="auto" w:fill="FFFFFF"/>
          </w:tcPr>
          <w:p w14:paraId="27E0E4FC" w14:textId="77777777" w:rsidR="00E238FE" w:rsidRPr="002269DF" w:rsidRDefault="00E238FE" w:rsidP="00D75DD2">
            <w:pPr>
              <w:spacing w:before="40" w:after="40" w:line="240" w:lineRule="auto"/>
              <w:jc w:val="center"/>
              <w:rPr>
                <w:rFonts w:ascii="Times New Roman" w:hAnsi="Times New Roman"/>
                <w:i/>
                <w:spacing w:val="-2"/>
              </w:rPr>
            </w:pPr>
            <w:r w:rsidRPr="002269DF">
              <w:rPr>
                <w:rFonts w:ascii="Times New Roman" w:hAnsi="Times New Roman"/>
              </w:rPr>
              <w:t>Skutki w okresie 10 lat od wejścia w życie zmian [mln zł]</w:t>
            </w:r>
          </w:p>
        </w:tc>
      </w:tr>
      <w:tr w:rsidR="00E238FE" w:rsidRPr="002269DF" w14:paraId="09584763" w14:textId="77777777" w:rsidTr="00471CCC">
        <w:trPr>
          <w:gridAfter w:val="1"/>
          <w:wAfter w:w="10" w:type="dxa"/>
          <w:trHeight w:val="142"/>
        </w:trPr>
        <w:tc>
          <w:tcPr>
            <w:tcW w:w="3133" w:type="dxa"/>
            <w:gridSpan w:val="4"/>
            <w:vMerge/>
            <w:shd w:val="clear" w:color="auto" w:fill="FFFFFF"/>
          </w:tcPr>
          <w:p w14:paraId="73CAB399" w14:textId="77777777" w:rsidR="00E238FE" w:rsidRPr="002269DF" w:rsidRDefault="00E238FE" w:rsidP="00D75DD2">
            <w:pPr>
              <w:spacing w:before="40" w:after="40" w:line="240" w:lineRule="auto"/>
              <w:rPr>
                <w:rFonts w:ascii="Times New Roman" w:hAnsi="Times New Roman"/>
                <w:i/>
              </w:rPr>
            </w:pPr>
          </w:p>
        </w:tc>
        <w:tc>
          <w:tcPr>
            <w:tcW w:w="569" w:type="dxa"/>
            <w:gridSpan w:val="2"/>
            <w:shd w:val="clear" w:color="auto" w:fill="FFFFFF"/>
            <w:vAlign w:val="center"/>
          </w:tcPr>
          <w:p w14:paraId="4258F9E1" w14:textId="77777777" w:rsidR="00E238FE" w:rsidRPr="002269DF" w:rsidRDefault="00E238FE" w:rsidP="00D75DD2">
            <w:pPr>
              <w:spacing w:line="240" w:lineRule="auto"/>
              <w:jc w:val="center"/>
              <w:rPr>
                <w:rFonts w:ascii="Times New Roman" w:hAnsi="Times New Roman"/>
                <w:b/>
                <w:bCs/>
                <w:sz w:val="17"/>
                <w:szCs w:val="17"/>
              </w:rPr>
            </w:pPr>
            <w:r w:rsidRPr="002269DF">
              <w:rPr>
                <w:rFonts w:ascii="Times New Roman" w:hAnsi="Times New Roman"/>
                <w:b/>
                <w:bCs/>
                <w:sz w:val="17"/>
                <w:szCs w:val="17"/>
              </w:rPr>
              <w:t>0</w:t>
            </w:r>
          </w:p>
        </w:tc>
        <w:tc>
          <w:tcPr>
            <w:tcW w:w="570" w:type="dxa"/>
            <w:gridSpan w:val="2"/>
            <w:shd w:val="clear" w:color="auto" w:fill="FFFFFF"/>
            <w:vAlign w:val="center"/>
          </w:tcPr>
          <w:p w14:paraId="6A770BF8" w14:textId="77777777" w:rsidR="00E238FE" w:rsidRPr="002269DF" w:rsidRDefault="00E238FE" w:rsidP="00D75DD2">
            <w:pPr>
              <w:spacing w:line="240" w:lineRule="auto"/>
              <w:jc w:val="center"/>
              <w:rPr>
                <w:rFonts w:ascii="Times New Roman" w:hAnsi="Times New Roman"/>
                <w:b/>
                <w:bCs/>
                <w:sz w:val="17"/>
                <w:szCs w:val="17"/>
              </w:rPr>
            </w:pPr>
            <w:r w:rsidRPr="002269DF">
              <w:rPr>
                <w:rFonts w:ascii="Times New Roman" w:hAnsi="Times New Roman"/>
                <w:b/>
                <w:bCs/>
                <w:sz w:val="17"/>
                <w:szCs w:val="17"/>
              </w:rPr>
              <w:t>1</w:t>
            </w:r>
          </w:p>
        </w:tc>
        <w:tc>
          <w:tcPr>
            <w:tcW w:w="570" w:type="dxa"/>
            <w:gridSpan w:val="2"/>
            <w:shd w:val="clear" w:color="auto" w:fill="FFFFFF"/>
            <w:vAlign w:val="center"/>
          </w:tcPr>
          <w:p w14:paraId="74132420" w14:textId="77777777" w:rsidR="00E238FE" w:rsidRPr="002269DF" w:rsidRDefault="00E238FE" w:rsidP="00D75DD2">
            <w:pPr>
              <w:spacing w:line="240" w:lineRule="auto"/>
              <w:jc w:val="center"/>
              <w:rPr>
                <w:rFonts w:ascii="Times New Roman" w:hAnsi="Times New Roman"/>
                <w:b/>
                <w:bCs/>
                <w:sz w:val="17"/>
                <w:szCs w:val="17"/>
              </w:rPr>
            </w:pPr>
            <w:r w:rsidRPr="002269DF">
              <w:rPr>
                <w:rFonts w:ascii="Times New Roman" w:hAnsi="Times New Roman"/>
                <w:b/>
                <w:bCs/>
                <w:sz w:val="17"/>
                <w:szCs w:val="17"/>
              </w:rPr>
              <w:t>2</w:t>
            </w:r>
          </w:p>
        </w:tc>
        <w:tc>
          <w:tcPr>
            <w:tcW w:w="569" w:type="dxa"/>
            <w:gridSpan w:val="2"/>
            <w:shd w:val="clear" w:color="auto" w:fill="FFFFFF"/>
            <w:vAlign w:val="center"/>
          </w:tcPr>
          <w:p w14:paraId="1D5DC335" w14:textId="77777777" w:rsidR="00E238FE" w:rsidRPr="002269DF" w:rsidRDefault="00E238FE" w:rsidP="00D75DD2">
            <w:pPr>
              <w:spacing w:line="240" w:lineRule="auto"/>
              <w:jc w:val="center"/>
              <w:rPr>
                <w:rFonts w:ascii="Times New Roman" w:hAnsi="Times New Roman"/>
                <w:b/>
                <w:bCs/>
                <w:sz w:val="17"/>
                <w:szCs w:val="17"/>
              </w:rPr>
            </w:pPr>
            <w:r w:rsidRPr="002269DF">
              <w:rPr>
                <w:rFonts w:ascii="Times New Roman" w:hAnsi="Times New Roman"/>
                <w:b/>
                <w:bCs/>
                <w:sz w:val="17"/>
                <w:szCs w:val="17"/>
              </w:rPr>
              <w:t>3</w:t>
            </w:r>
          </w:p>
        </w:tc>
        <w:tc>
          <w:tcPr>
            <w:tcW w:w="570" w:type="dxa"/>
            <w:gridSpan w:val="2"/>
            <w:shd w:val="clear" w:color="auto" w:fill="FFFFFF"/>
            <w:vAlign w:val="center"/>
          </w:tcPr>
          <w:p w14:paraId="31168B2B" w14:textId="77777777" w:rsidR="00E238FE" w:rsidRPr="002269DF" w:rsidRDefault="00E238FE" w:rsidP="00D75DD2">
            <w:pPr>
              <w:spacing w:line="240" w:lineRule="auto"/>
              <w:jc w:val="center"/>
              <w:rPr>
                <w:rFonts w:ascii="Times New Roman" w:hAnsi="Times New Roman"/>
                <w:b/>
                <w:bCs/>
                <w:sz w:val="17"/>
                <w:szCs w:val="17"/>
              </w:rPr>
            </w:pPr>
            <w:r w:rsidRPr="002269DF">
              <w:rPr>
                <w:rFonts w:ascii="Times New Roman" w:hAnsi="Times New Roman"/>
                <w:b/>
                <w:bCs/>
                <w:sz w:val="17"/>
                <w:szCs w:val="17"/>
              </w:rPr>
              <w:t>4</w:t>
            </w:r>
          </w:p>
        </w:tc>
        <w:tc>
          <w:tcPr>
            <w:tcW w:w="570" w:type="dxa"/>
            <w:shd w:val="clear" w:color="auto" w:fill="FFFFFF"/>
            <w:vAlign w:val="center"/>
          </w:tcPr>
          <w:p w14:paraId="48E5ABF7" w14:textId="77777777" w:rsidR="00E238FE" w:rsidRPr="002269DF" w:rsidRDefault="00E238FE" w:rsidP="00D75DD2">
            <w:pPr>
              <w:spacing w:line="240" w:lineRule="auto"/>
              <w:jc w:val="center"/>
              <w:rPr>
                <w:rFonts w:ascii="Times New Roman" w:hAnsi="Times New Roman"/>
                <w:b/>
                <w:bCs/>
                <w:sz w:val="17"/>
                <w:szCs w:val="17"/>
              </w:rPr>
            </w:pPr>
            <w:r w:rsidRPr="002269DF">
              <w:rPr>
                <w:rFonts w:ascii="Times New Roman" w:hAnsi="Times New Roman"/>
                <w:b/>
                <w:bCs/>
                <w:sz w:val="17"/>
                <w:szCs w:val="17"/>
              </w:rPr>
              <w:t>5</w:t>
            </w:r>
          </w:p>
        </w:tc>
        <w:tc>
          <w:tcPr>
            <w:tcW w:w="570" w:type="dxa"/>
            <w:gridSpan w:val="4"/>
            <w:shd w:val="clear" w:color="auto" w:fill="FFFFFF"/>
            <w:vAlign w:val="center"/>
          </w:tcPr>
          <w:p w14:paraId="2E02F72D" w14:textId="77777777" w:rsidR="00E238FE" w:rsidRPr="002269DF" w:rsidRDefault="00E238FE" w:rsidP="00D75DD2">
            <w:pPr>
              <w:spacing w:line="240" w:lineRule="auto"/>
              <w:jc w:val="center"/>
              <w:rPr>
                <w:rFonts w:ascii="Times New Roman" w:hAnsi="Times New Roman"/>
                <w:b/>
                <w:bCs/>
                <w:sz w:val="17"/>
                <w:szCs w:val="17"/>
              </w:rPr>
            </w:pPr>
            <w:r w:rsidRPr="002269DF">
              <w:rPr>
                <w:rFonts w:ascii="Times New Roman" w:hAnsi="Times New Roman"/>
                <w:b/>
                <w:bCs/>
                <w:sz w:val="17"/>
                <w:szCs w:val="17"/>
              </w:rPr>
              <w:t>6</w:t>
            </w:r>
          </w:p>
        </w:tc>
        <w:tc>
          <w:tcPr>
            <w:tcW w:w="569" w:type="dxa"/>
            <w:gridSpan w:val="3"/>
            <w:shd w:val="clear" w:color="auto" w:fill="FFFFFF"/>
            <w:vAlign w:val="center"/>
          </w:tcPr>
          <w:p w14:paraId="42D14806" w14:textId="77777777" w:rsidR="00E238FE" w:rsidRPr="002269DF" w:rsidRDefault="00E238FE" w:rsidP="00D75DD2">
            <w:pPr>
              <w:spacing w:line="240" w:lineRule="auto"/>
              <w:jc w:val="center"/>
              <w:rPr>
                <w:rFonts w:ascii="Times New Roman" w:hAnsi="Times New Roman"/>
                <w:b/>
                <w:bCs/>
                <w:sz w:val="17"/>
                <w:szCs w:val="17"/>
              </w:rPr>
            </w:pPr>
            <w:r w:rsidRPr="002269DF">
              <w:rPr>
                <w:rFonts w:ascii="Times New Roman" w:hAnsi="Times New Roman"/>
                <w:b/>
                <w:bCs/>
                <w:sz w:val="17"/>
                <w:szCs w:val="17"/>
              </w:rPr>
              <w:t>7</w:t>
            </w:r>
          </w:p>
        </w:tc>
        <w:tc>
          <w:tcPr>
            <w:tcW w:w="570" w:type="dxa"/>
            <w:shd w:val="clear" w:color="auto" w:fill="FFFFFF"/>
            <w:vAlign w:val="center"/>
          </w:tcPr>
          <w:p w14:paraId="71C4DD60" w14:textId="77777777" w:rsidR="00E238FE" w:rsidRPr="002269DF" w:rsidRDefault="00E238FE" w:rsidP="00D75DD2">
            <w:pPr>
              <w:spacing w:line="240" w:lineRule="auto"/>
              <w:jc w:val="center"/>
              <w:rPr>
                <w:rFonts w:ascii="Times New Roman" w:hAnsi="Times New Roman"/>
                <w:b/>
                <w:bCs/>
                <w:sz w:val="17"/>
                <w:szCs w:val="17"/>
              </w:rPr>
            </w:pPr>
            <w:r w:rsidRPr="002269DF">
              <w:rPr>
                <w:rFonts w:ascii="Times New Roman" w:hAnsi="Times New Roman"/>
                <w:b/>
                <w:bCs/>
                <w:sz w:val="17"/>
                <w:szCs w:val="17"/>
              </w:rPr>
              <w:t>8</w:t>
            </w:r>
          </w:p>
        </w:tc>
        <w:tc>
          <w:tcPr>
            <w:tcW w:w="570" w:type="dxa"/>
            <w:gridSpan w:val="3"/>
            <w:shd w:val="clear" w:color="auto" w:fill="FFFFFF"/>
            <w:vAlign w:val="center"/>
          </w:tcPr>
          <w:p w14:paraId="286DABDB" w14:textId="77777777" w:rsidR="00E238FE" w:rsidRPr="002269DF" w:rsidRDefault="00E238FE" w:rsidP="00D75DD2">
            <w:pPr>
              <w:spacing w:line="240" w:lineRule="auto"/>
              <w:jc w:val="center"/>
              <w:rPr>
                <w:rFonts w:ascii="Times New Roman" w:hAnsi="Times New Roman"/>
                <w:b/>
                <w:bCs/>
                <w:sz w:val="17"/>
                <w:szCs w:val="17"/>
              </w:rPr>
            </w:pPr>
            <w:r w:rsidRPr="002269DF">
              <w:rPr>
                <w:rFonts w:ascii="Times New Roman" w:hAnsi="Times New Roman"/>
                <w:b/>
                <w:bCs/>
                <w:sz w:val="17"/>
                <w:szCs w:val="17"/>
              </w:rPr>
              <w:t>9</w:t>
            </w:r>
          </w:p>
        </w:tc>
        <w:tc>
          <w:tcPr>
            <w:tcW w:w="570" w:type="dxa"/>
            <w:shd w:val="clear" w:color="auto" w:fill="FFFFFF"/>
            <w:vAlign w:val="center"/>
          </w:tcPr>
          <w:p w14:paraId="1266AD54" w14:textId="77777777" w:rsidR="00E238FE" w:rsidRPr="002269DF" w:rsidRDefault="00E238FE" w:rsidP="00D75DD2">
            <w:pPr>
              <w:spacing w:line="240" w:lineRule="auto"/>
              <w:jc w:val="center"/>
              <w:rPr>
                <w:rFonts w:ascii="Times New Roman" w:hAnsi="Times New Roman"/>
                <w:b/>
                <w:bCs/>
                <w:sz w:val="17"/>
                <w:szCs w:val="17"/>
              </w:rPr>
            </w:pPr>
            <w:r w:rsidRPr="002269DF">
              <w:rPr>
                <w:rFonts w:ascii="Times New Roman" w:hAnsi="Times New Roman"/>
                <w:b/>
                <w:bCs/>
                <w:sz w:val="17"/>
                <w:szCs w:val="17"/>
              </w:rPr>
              <w:t>10</w:t>
            </w:r>
          </w:p>
        </w:tc>
        <w:tc>
          <w:tcPr>
            <w:tcW w:w="1537" w:type="dxa"/>
            <w:gridSpan w:val="2"/>
            <w:shd w:val="clear" w:color="auto" w:fill="FFFFFF"/>
          </w:tcPr>
          <w:p w14:paraId="08142EE9" w14:textId="77777777" w:rsidR="00E238FE" w:rsidRPr="002269DF" w:rsidRDefault="00E238FE" w:rsidP="00D75DD2">
            <w:pPr>
              <w:spacing w:line="240" w:lineRule="auto"/>
              <w:jc w:val="center"/>
              <w:rPr>
                <w:rFonts w:ascii="Times New Roman" w:hAnsi="Times New Roman"/>
                <w:i/>
                <w:spacing w:val="-2"/>
              </w:rPr>
            </w:pPr>
            <w:r w:rsidRPr="002269DF">
              <w:rPr>
                <w:rFonts w:ascii="Times New Roman" w:hAnsi="Times New Roman"/>
                <w:i/>
                <w:spacing w:val="-2"/>
              </w:rPr>
              <w:t>Łącznie (0-10)</w:t>
            </w:r>
          </w:p>
        </w:tc>
      </w:tr>
      <w:tr w:rsidR="0063737A" w:rsidRPr="002269DF" w14:paraId="70AA8C24" w14:textId="77777777" w:rsidTr="009F1B14">
        <w:trPr>
          <w:trHeight w:val="321"/>
        </w:trPr>
        <w:tc>
          <w:tcPr>
            <w:tcW w:w="3133" w:type="dxa"/>
            <w:gridSpan w:val="4"/>
            <w:shd w:val="clear" w:color="auto" w:fill="FFFFFF"/>
            <w:vAlign w:val="center"/>
          </w:tcPr>
          <w:p w14:paraId="1AB750EC" w14:textId="77777777" w:rsidR="0063737A" w:rsidRPr="002269DF" w:rsidRDefault="0063737A" w:rsidP="0063737A">
            <w:pPr>
              <w:spacing w:line="240" w:lineRule="auto"/>
              <w:rPr>
                <w:rFonts w:ascii="Times New Roman" w:hAnsi="Times New Roman"/>
              </w:rPr>
            </w:pPr>
            <w:r w:rsidRPr="002269DF">
              <w:rPr>
                <w:rFonts w:ascii="Times New Roman" w:hAnsi="Times New Roman"/>
                <w:b/>
              </w:rPr>
              <w:t>Dochody ogółem</w:t>
            </w:r>
            <w:r>
              <w:rPr>
                <w:rFonts w:ascii="Times New Roman" w:hAnsi="Times New Roman"/>
                <w:b/>
              </w:rPr>
              <w:t xml:space="preserve"> </w:t>
            </w:r>
          </w:p>
        </w:tc>
        <w:tc>
          <w:tcPr>
            <w:tcW w:w="569" w:type="dxa"/>
            <w:gridSpan w:val="2"/>
            <w:shd w:val="clear" w:color="auto" w:fill="FFFFFF"/>
            <w:vAlign w:val="bottom"/>
          </w:tcPr>
          <w:p w14:paraId="05A82ACE"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-668</w:t>
            </w:r>
          </w:p>
        </w:tc>
        <w:tc>
          <w:tcPr>
            <w:tcW w:w="570" w:type="dxa"/>
            <w:gridSpan w:val="2"/>
            <w:shd w:val="clear" w:color="auto" w:fill="FFFFFF"/>
            <w:vAlign w:val="bottom"/>
          </w:tcPr>
          <w:p w14:paraId="1F7ED5BD"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-441</w:t>
            </w:r>
          </w:p>
        </w:tc>
        <w:tc>
          <w:tcPr>
            <w:tcW w:w="570" w:type="dxa"/>
            <w:gridSpan w:val="2"/>
            <w:shd w:val="clear" w:color="auto" w:fill="FFFFFF"/>
            <w:vAlign w:val="bottom"/>
          </w:tcPr>
          <w:p w14:paraId="5FDA7047"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-280</w:t>
            </w:r>
          </w:p>
        </w:tc>
        <w:tc>
          <w:tcPr>
            <w:tcW w:w="569" w:type="dxa"/>
            <w:gridSpan w:val="2"/>
            <w:shd w:val="clear" w:color="auto" w:fill="FFFFFF"/>
            <w:vAlign w:val="bottom"/>
          </w:tcPr>
          <w:p w14:paraId="5A122B9C"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-277</w:t>
            </w:r>
          </w:p>
        </w:tc>
        <w:tc>
          <w:tcPr>
            <w:tcW w:w="570" w:type="dxa"/>
            <w:gridSpan w:val="2"/>
            <w:shd w:val="clear" w:color="auto" w:fill="FFFFFF"/>
            <w:vAlign w:val="bottom"/>
          </w:tcPr>
          <w:p w14:paraId="061FD505"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-274</w:t>
            </w:r>
          </w:p>
        </w:tc>
        <w:tc>
          <w:tcPr>
            <w:tcW w:w="570" w:type="dxa"/>
            <w:shd w:val="clear" w:color="auto" w:fill="FFFFFF"/>
            <w:vAlign w:val="bottom"/>
          </w:tcPr>
          <w:p w14:paraId="0E3BD006"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-282</w:t>
            </w:r>
          </w:p>
        </w:tc>
        <w:tc>
          <w:tcPr>
            <w:tcW w:w="570" w:type="dxa"/>
            <w:gridSpan w:val="4"/>
            <w:shd w:val="clear" w:color="auto" w:fill="FFFFFF"/>
            <w:vAlign w:val="bottom"/>
          </w:tcPr>
          <w:p w14:paraId="27A83A4B"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-290</w:t>
            </w:r>
          </w:p>
        </w:tc>
        <w:tc>
          <w:tcPr>
            <w:tcW w:w="569" w:type="dxa"/>
            <w:gridSpan w:val="3"/>
            <w:shd w:val="clear" w:color="auto" w:fill="FFFFFF"/>
            <w:vAlign w:val="bottom"/>
          </w:tcPr>
          <w:p w14:paraId="7BD106FD"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-298</w:t>
            </w:r>
          </w:p>
        </w:tc>
        <w:tc>
          <w:tcPr>
            <w:tcW w:w="570" w:type="dxa"/>
            <w:shd w:val="clear" w:color="auto" w:fill="FFFFFF"/>
            <w:vAlign w:val="bottom"/>
          </w:tcPr>
          <w:p w14:paraId="1D061D82"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-307</w:t>
            </w:r>
          </w:p>
        </w:tc>
        <w:tc>
          <w:tcPr>
            <w:tcW w:w="570" w:type="dxa"/>
            <w:gridSpan w:val="3"/>
            <w:shd w:val="clear" w:color="auto" w:fill="FFFFFF"/>
            <w:vAlign w:val="bottom"/>
          </w:tcPr>
          <w:p w14:paraId="0EA6D8F9"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-316</w:t>
            </w:r>
          </w:p>
        </w:tc>
        <w:tc>
          <w:tcPr>
            <w:tcW w:w="570" w:type="dxa"/>
            <w:shd w:val="clear" w:color="auto" w:fill="FFFFFF"/>
            <w:vAlign w:val="bottom"/>
          </w:tcPr>
          <w:p w14:paraId="31DE8CA5"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-325</w:t>
            </w:r>
          </w:p>
        </w:tc>
        <w:tc>
          <w:tcPr>
            <w:tcW w:w="1547" w:type="dxa"/>
            <w:gridSpan w:val="3"/>
            <w:shd w:val="clear" w:color="auto" w:fill="FFFFFF"/>
            <w:vAlign w:val="bottom"/>
          </w:tcPr>
          <w:p w14:paraId="41C654A8" w14:textId="77777777" w:rsidR="0063737A" w:rsidRPr="009F1B14" w:rsidRDefault="0063737A" w:rsidP="0063737A">
            <w:pPr>
              <w:spacing w:line="240" w:lineRule="auto"/>
              <w:rPr>
                <w:rFonts w:ascii="Times New Roman" w:hAnsi="Times New Roman"/>
                <w:bCs/>
                <w:sz w:val="20"/>
                <w:szCs w:val="20"/>
              </w:rPr>
            </w:pPr>
            <w:r w:rsidRPr="009F1B14">
              <w:rPr>
                <w:rFonts w:ascii="Times New Roman" w:hAnsi="Times New Roman"/>
                <w:color w:val="000000"/>
                <w:sz w:val="20"/>
                <w:szCs w:val="20"/>
              </w:rPr>
              <w:t>-3 758</w:t>
            </w:r>
          </w:p>
        </w:tc>
      </w:tr>
      <w:tr w:rsidR="0063737A" w:rsidRPr="002269DF" w14:paraId="150B3023" w14:textId="77777777" w:rsidTr="009F1B14">
        <w:trPr>
          <w:trHeight w:val="321"/>
        </w:trPr>
        <w:tc>
          <w:tcPr>
            <w:tcW w:w="3133" w:type="dxa"/>
            <w:gridSpan w:val="4"/>
            <w:shd w:val="clear" w:color="auto" w:fill="FFFFFF"/>
            <w:vAlign w:val="center"/>
          </w:tcPr>
          <w:p w14:paraId="59CF3C7C" w14:textId="77777777" w:rsidR="0063737A" w:rsidRPr="002269DF" w:rsidRDefault="0063737A" w:rsidP="0063737A">
            <w:pPr>
              <w:spacing w:line="240" w:lineRule="auto"/>
              <w:rPr>
                <w:rFonts w:ascii="Times New Roman" w:hAnsi="Times New Roman"/>
              </w:rPr>
            </w:pPr>
            <w:r w:rsidRPr="002269DF">
              <w:rPr>
                <w:rFonts w:ascii="Times New Roman" w:hAnsi="Times New Roman"/>
              </w:rPr>
              <w:t>budżet państwa</w:t>
            </w:r>
          </w:p>
        </w:tc>
        <w:tc>
          <w:tcPr>
            <w:tcW w:w="569" w:type="dxa"/>
            <w:gridSpan w:val="2"/>
            <w:shd w:val="clear" w:color="auto" w:fill="FFFFFF"/>
            <w:vAlign w:val="bottom"/>
          </w:tcPr>
          <w:p w14:paraId="7E50412D"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-419</w:t>
            </w:r>
          </w:p>
        </w:tc>
        <w:tc>
          <w:tcPr>
            <w:tcW w:w="570" w:type="dxa"/>
            <w:gridSpan w:val="2"/>
            <w:shd w:val="clear" w:color="auto" w:fill="FFFFFF"/>
            <w:vAlign w:val="bottom"/>
          </w:tcPr>
          <w:p w14:paraId="67E15D45"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-315</w:t>
            </w:r>
          </w:p>
        </w:tc>
        <w:tc>
          <w:tcPr>
            <w:tcW w:w="570" w:type="dxa"/>
            <w:gridSpan w:val="2"/>
            <w:shd w:val="clear" w:color="auto" w:fill="FFFFFF"/>
            <w:vAlign w:val="bottom"/>
          </w:tcPr>
          <w:p w14:paraId="4BC41F12"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-196</w:t>
            </w:r>
          </w:p>
        </w:tc>
        <w:tc>
          <w:tcPr>
            <w:tcW w:w="569" w:type="dxa"/>
            <w:gridSpan w:val="2"/>
            <w:shd w:val="clear" w:color="auto" w:fill="FFFFFF"/>
            <w:vAlign w:val="bottom"/>
          </w:tcPr>
          <w:p w14:paraId="3DE8CACF"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-193</w:t>
            </w:r>
          </w:p>
        </w:tc>
        <w:tc>
          <w:tcPr>
            <w:tcW w:w="570" w:type="dxa"/>
            <w:gridSpan w:val="2"/>
            <w:shd w:val="clear" w:color="auto" w:fill="FFFFFF"/>
            <w:vAlign w:val="bottom"/>
          </w:tcPr>
          <w:p w14:paraId="26B935CD"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-190</w:t>
            </w:r>
          </w:p>
        </w:tc>
        <w:tc>
          <w:tcPr>
            <w:tcW w:w="570" w:type="dxa"/>
            <w:shd w:val="clear" w:color="auto" w:fill="FFFFFF"/>
            <w:vAlign w:val="bottom"/>
          </w:tcPr>
          <w:p w14:paraId="2A51C1B5"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-196</w:t>
            </w:r>
          </w:p>
        </w:tc>
        <w:tc>
          <w:tcPr>
            <w:tcW w:w="570" w:type="dxa"/>
            <w:gridSpan w:val="4"/>
            <w:shd w:val="clear" w:color="auto" w:fill="FFFFFF"/>
            <w:vAlign w:val="bottom"/>
          </w:tcPr>
          <w:p w14:paraId="1D80F421"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-201</w:t>
            </w:r>
          </w:p>
        </w:tc>
        <w:tc>
          <w:tcPr>
            <w:tcW w:w="569" w:type="dxa"/>
            <w:gridSpan w:val="3"/>
            <w:shd w:val="clear" w:color="auto" w:fill="FFFFFF"/>
            <w:vAlign w:val="bottom"/>
          </w:tcPr>
          <w:p w14:paraId="77225261"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-206</w:t>
            </w:r>
          </w:p>
        </w:tc>
        <w:tc>
          <w:tcPr>
            <w:tcW w:w="570" w:type="dxa"/>
            <w:shd w:val="clear" w:color="auto" w:fill="FFFFFF"/>
            <w:vAlign w:val="bottom"/>
          </w:tcPr>
          <w:p w14:paraId="7ABF3C82"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-212</w:t>
            </w:r>
          </w:p>
        </w:tc>
        <w:tc>
          <w:tcPr>
            <w:tcW w:w="570" w:type="dxa"/>
            <w:gridSpan w:val="3"/>
            <w:shd w:val="clear" w:color="auto" w:fill="FFFFFF"/>
            <w:vAlign w:val="bottom"/>
          </w:tcPr>
          <w:p w14:paraId="15814F60"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-218</w:t>
            </w:r>
          </w:p>
        </w:tc>
        <w:tc>
          <w:tcPr>
            <w:tcW w:w="570" w:type="dxa"/>
            <w:shd w:val="clear" w:color="auto" w:fill="FFFFFF"/>
            <w:vAlign w:val="bottom"/>
          </w:tcPr>
          <w:p w14:paraId="1CCECB00"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-224</w:t>
            </w:r>
          </w:p>
        </w:tc>
        <w:tc>
          <w:tcPr>
            <w:tcW w:w="1547" w:type="dxa"/>
            <w:gridSpan w:val="3"/>
            <w:shd w:val="clear" w:color="auto" w:fill="FFFFFF"/>
            <w:vAlign w:val="bottom"/>
          </w:tcPr>
          <w:p w14:paraId="444E9086" w14:textId="77777777" w:rsidR="0063737A" w:rsidRPr="009F1B14" w:rsidRDefault="0063737A" w:rsidP="0063737A">
            <w:pPr>
              <w:spacing w:line="240" w:lineRule="auto"/>
              <w:rPr>
                <w:rFonts w:ascii="Times New Roman" w:hAnsi="Times New Roman"/>
                <w:bCs/>
                <w:sz w:val="20"/>
                <w:szCs w:val="20"/>
              </w:rPr>
            </w:pPr>
            <w:r w:rsidRPr="009F1B14">
              <w:rPr>
                <w:rFonts w:ascii="Times New Roman" w:hAnsi="Times New Roman"/>
                <w:color w:val="000000"/>
                <w:sz w:val="20"/>
                <w:szCs w:val="20"/>
              </w:rPr>
              <w:t>-2 570</w:t>
            </w:r>
          </w:p>
        </w:tc>
      </w:tr>
      <w:tr w:rsidR="0063737A" w:rsidRPr="002269DF" w14:paraId="4B76B6B3" w14:textId="77777777" w:rsidTr="009F1B14">
        <w:trPr>
          <w:trHeight w:val="344"/>
        </w:trPr>
        <w:tc>
          <w:tcPr>
            <w:tcW w:w="3133" w:type="dxa"/>
            <w:gridSpan w:val="4"/>
            <w:shd w:val="clear" w:color="auto" w:fill="FFFFFF"/>
            <w:vAlign w:val="center"/>
          </w:tcPr>
          <w:p w14:paraId="69425ED1" w14:textId="77777777" w:rsidR="0063737A" w:rsidRPr="002269DF" w:rsidRDefault="0063737A" w:rsidP="0063737A">
            <w:pPr>
              <w:spacing w:line="240" w:lineRule="auto"/>
              <w:rPr>
                <w:rFonts w:ascii="Times New Roman" w:hAnsi="Times New Roman"/>
              </w:rPr>
            </w:pPr>
            <w:r w:rsidRPr="002269DF">
              <w:rPr>
                <w:rFonts w:ascii="Times New Roman" w:hAnsi="Times New Roman"/>
              </w:rPr>
              <w:t>JST</w:t>
            </w:r>
          </w:p>
        </w:tc>
        <w:tc>
          <w:tcPr>
            <w:tcW w:w="569" w:type="dxa"/>
            <w:gridSpan w:val="2"/>
            <w:shd w:val="clear" w:color="auto" w:fill="FFFFFF"/>
            <w:vAlign w:val="bottom"/>
          </w:tcPr>
          <w:p w14:paraId="323C694B"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-249</w:t>
            </w:r>
          </w:p>
        </w:tc>
        <w:tc>
          <w:tcPr>
            <w:tcW w:w="570" w:type="dxa"/>
            <w:gridSpan w:val="2"/>
            <w:shd w:val="clear" w:color="auto" w:fill="FFFFFF"/>
            <w:vAlign w:val="bottom"/>
          </w:tcPr>
          <w:p w14:paraId="52A03544"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-126</w:t>
            </w:r>
          </w:p>
        </w:tc>
        <w:tc>
          <w:tcPr>
            <w:tcW w:w="570" w:type="dxa"/>
            <w:gridSpan w:val="2"/>
            <w:shd w:val="clear" w:color="auto" w:fill="FFFFFF"/>
            <w:vAlign w:val="bottom"/>
          </w:tcPr>
          <w:p w14:paraId="6728556E"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-84</w:t>
            </w:r>
          </w:p>
        </w:tc>
        <w:tc>
          <w:tcPr>
            <w:tcW w:w="569" w:type="dxa"/>
            <w:gridSpan w:val="2"/>
            <w:shd w:val="clear" w:color="auto" w:fill="FFFFFF"/>
            <w:vAlign w:val="bottom"/>
          </w:tcPr>
          <w:p w14:paraId="1162541A"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-84</w:t>
            </w:r>
          </w:p>
        </w:tc>
        <w:tc>
          <w:tcPr>
            <w:tcW w:w="570" w:type="dxa"/>
            <w:gridSpan w:val="2"/>
            <w:shd w:val="clear" w:color="auto" w:fill="FFFFFF"/>
            <w:vAlign w:val="bottom"/>
          </w:tcPr>
          <w:p w14:paraId="04411595"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-84</w:t>
            </w:r>
          </w:p>
        </w:tc>
        <w:tc>
          <w:tcPr>
            <w:tcW w:w="570" w:type="dxa"/>
            <w:shd w:val="clear" w:color="auto" w:fill="FFFFFF"/>
            <w:vAlign w:val="bottom"/>
          </w:tcPr>
          <w:p w14:paraId="4FE5A814"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-86</w:t>
            </w:r>
          </w:p>
        </w:tc>
        <w:tc>
          <w:tcPr>
            <w:tcW w:w="570" w:type="dxa"/>
            <w:gridSpan w:val="4"/>
            <w:shd w:val="clear" w:color="auto" w:fill="FFFFFF"/>
            <w:vAlign w:val="bottom"/>
          </w:tcPr>
          <w:p w14:paraId="386DF4E3"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-89</w:t>
            </w:r>
          </w:p>
        </w:tc>
        <w:tc>
          <w:tcPr>
            <w:tcW w:w="569" w:type="dxa"/>
            <w:gridSpan w:val="3"/>
            <w:shd w:val="clear" w:color="auto" w:fill="FFFFFF"/>
            <w:vAlign w:val="bottom"/>
          </w:tcPr>
          <w:p w14:paraId="6D587856"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-92</w:t>
            </w:r>
          </w:p>
        </w:tc>
        <w:tc>
          <w:tcPr>
            <w:tcW w:w="570" w:type="dxa"/>
            <w:shd w:val="clear" w:color="auto" w:fill="FFFFFF"/>
            <w:vAlign w:val="bottom"/>
          </w:tcPr>
          <w:p w14:paraId="760D6D35"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-95</w:t>
            </w:r>
          </w:p>
        </w:tc>
        <w:tc>
          <w:tcPr>
            <w:tcW w:w="570" w:type="dxa"/>
            <w:gridSpan w:val="3"/>
            <w:shd w:val="clear" w:color="auto" w:fill="FFFFFF"/>
            <w:vAlign w:val="bottom"/>
          </w:tcPr>
          <w:p w14:paraId="7C236EBB"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-98</w:t>
            </w:r>
          </w:p>
        </w:tc>
        <w:tc>
          <w:tcPr>
            <w:tcW w:w="570" w:type="dxa"/>
            <w:shd w:val="clear" w:color="auto" w:fill="FFFFFF"/>
            <w:vAlign w:val="bottom"/>
          </w:tcPr>
          <w:p w14:paraId="765BEC19"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-101</w:t>
            </w:r>
          </w:p>
        </w:tc>
        <w:tc>
          <w:tcPr>
            <w:tcW w:w="1547" w:type="dxa"/>
            <w:gridSpan w:val="3"/>
            <w:shd w:val="clear" w:color="auto" w:fill="FFFFFF"/>
            <w:vAlign w:val="bottom"/>
          </w:tcPr>
          <w:p w14:paraId="3F7D7823"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-1 188</w:t>
            </w:r>
          </w:p>
        </w:tc>
      </w:tr>
      <w:tr w:rsidR="0063737A" w:rsidRPr="002269DF" w14:paraId="14D1EA5B" w14:textId="77777777" w:rsidTr="009F1B14">
        <w:trPr>
          <w:trHeight w:val="344"/>
        </w:trPr>
        <w:tc>
          <w:tcPr>
            <w:tcW w:w="3133" w:type="dxa"/>
            <w:gridSpan w:val="4"/>
            <w:shd w:val="clear" w:color="auto" w:fill="FFFFFF"/>
            <w:vAlign w:val="center"/>
          </w:tcPr>
          <w:p w14:paraId="244BBEA8" w14:textId="77777777" w:rsidR="0063737A" w:rsidRPr="002269DF" w:rsidRDefault="0063737A" w:rsidP="0063737A">
            <w:pPr>
              <w:spacing w:line="240" w:lineRule="auto"/>
              <w:rPr>
                <w:rFonts w:ascii="Times New Roman" w:hAnsi="Times New Roman"/>
              </w:rPr>
            </w:pPr>
            <w:r w:rsidRPr="002269DF">
              <w:rPr>
                <w:rFonts w:ascii="Times New Roman" w:hAnsi="Times New Roman"/>
              </w:rPr>
              <w:t>pozostałe jednostki (oddzielnie)</w:t>
            </w:r>
          </w:p>
        </w:tc>
        <w:tc>
          <w:tcPr>
            <w:tcW w:w="569" w:type="dxa"/>
            <w:gridSpan w:val="2"/>
            <w:shd w:val="clear" w:color="auto" w:fill="FFFFFF"/>
            <w:vAlign w:val="bottom"/>
          </w:tcPr>
          <w:p w14:paraId="08DDED67"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c>
          <w:tcPr>
            <w:tcW w:w="570" w:type="dxa"/>
            <w:gridSpan w:val="2"/>
            <w:shd w:val="clear" w:color="auto" w:fill="FFFFFF"/>
            <w:vAlign w:val="bottom"/>
          </w:tcPr>
          <w:p w14:paraId="44E94F00"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c>
          <w:tcPr>
            <w:tcW w:w="570" w:type="dxa"/>
            <w:gridSpan w:val="2"/>
            <w:shd w:val="clear" w:color="auto" w:fill="FFFFFF"/>
            <w:vAlign w:val="bottom"/>
          </w:tcPr>
          <w:p w14:paraId="458890E3"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c>
          <w:tcPr>
            <w:tcW w:w="569" w:type="dxa"/>
            <w:gridSpan w:val="2"/>
            <w:shd w:val="clear" w:color="auto" w:fill="FFFFFF"/>
            <w:vAlign w:val="bottom"/>
          </w:tcPr>
          <w:p w14:paraId="232B1ECC"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c>
          <w:tcPr>
            <w:tcW w:w="570" w:type="dxa"/>
            <w:gridSpan w:val="2"/>
            <w:shd w:val="clear" w:color="auto" w:fill="FFFFFF"/>
            <w:vAlign w:val="bottom"/>
          </w:tcPr>
          <w:p w14:paraId="484932C7"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c>
          <w:tcPr>
            <w:tcW w:w="570" w:type="dxa"/>
            <w:shd w:val="clear" w:color="auto" w:fill="FFFFFF"/>
            <w:vAlign w:val="bottom"/>
          </w:tcPr>
          <w:p w14:paraId="3B2DDEC0"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c>
          <w:tcPr>
            <w:tcW w:w="570" w:type="dxa"/>
            <w:gridSpan w:val="4"/>
            <w:shd w:val="clear" w:color="auto" w:fill="FFFFFF"/>
            <w:vAlign w:val="bottom"/>
          </w:tcPr>
          <w:p w14:paraId="69C73926"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c>
          <w:tcPr>
            <w:tcW w:w="569" w:type="dxa"/>
            <w:gridSpan w:val="3"/>
            <w:shd w:val="clear" w:color="auto" w:fill="FFFFFF"/>
            <w:vAlign w:val="bottom"/>
          </w:tcPr>
          <w:p w14:paraId="1AE858FF"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c>
          <w:tcPr>
            <w:tcW w:w="570" w:type="dxa"/>
            <w:shd w:val="clear" w:color="auto" w:fill="FFFFFF"/>
            <w:vAlign w:val="bottom"/>
          </w:tcPr>
          <w:p w14:paraId="5EAB0195"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c>
          <w:tcPr>
            <w:tcW w:w="570" w:type="dxa"/>
            <w:gridSpan w:val="3"/>
            <w:shd w:val="clear" w:color="auto" w:fill="FFFFFF"/>
            <w:vAlign w:val="bottom"/>
          </w:tcPr>
          <w:p w14:paraId="61688DE3"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c>
          <w:tcPr>
            <w:tcW w:w="570" w:type="dxa"/>
            <w:shd w:val="clear" w:color="auto" w:fill="FFFFFF"/>
            <w:vAlign w:val="bottom"/>
          </w:tcPr>
          <w:p w14:paraId="031838BA"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c>
          <w:tcPr>
            <w:tcW w:w="1547" w:type="dxa"/>
            <w:gridSpan w:val="3"/>
            <w:shd w:val="clear" w:color="auto" w:fill="FFFFFF"/>
            <w:vAlign w:val="bottom"/>
          </w:tcPr>
          <w:p w14:paraId="5344E354" w14:textId="77777777" w:rsidR="0063737A" w:rsidRPr="009F1B14" w:rsidRDefault="0063737A" w:rsidP="0063737A">
            <w:pPr>
              <w:spacing w:line="240" w:lineRule="auto"/>
              <w:rPr>
                <w:rFonts w:ascii="Times New Roman" w:hAnsi="Times New Roman"/>
                <w:sz w:val="20"/>
                <w:szCs w:val="20"/>
              </w:rPr>
            </w:pPr>
            <w:r w:rsidRPr="009F1B14">
              <w:rPr>
                <w:rFonts w:ascii="Times New Roman" w:hAnsi="Times New Roman"/>
                <w:color w:val="000000"/>
                <w:sz w:val="20"/>
                <w:szCs w:val="20"/>
              </w:rPr>
              <w:t>0</w:t>
            </w:r>
          </w:p>
        </w:tc>
      </w:tr>
      <w:tr w:rsidR="00E238FE" w:rsidRPr="002269DF" w14:paraId="7C2A0E51" w14:textId="77777777" w:rsidTr="00676C8D">
        <w:trPr>
          <w:trHeight w:val="330"/>
        </w:trPr>
        <w:tc>
          <w:tcPr>
            <w:tcW w:w="3133" w:type="dxa"/>
            <w:gridSpan w:val="4"/>
            <w:shd w:val="clear" w:color="auto" w:fill="FFFFFF"/>
            <w:vAlign w:val="center"/>
          </w:tcPr>
          <w:p w14:paraId="5418718F" w14:textId="77777777" w:rsidR="00E238FE" w:rsidRPr="002269DF" w:rsidRDefault="00E238FE" w:rsidP="00D75DD2">
            <w:pPr>
              <w:spacing w:line="240" w:lineRule="auto"/>
              <w:rPr>
                <w:rFonts w:ascii="Times New Roman" w:hAnsi="Times New Roman"/>
              </w:rPr>
            </w:pPr>
            <w:r w:rsidRPr="002269DF">
              <w:rPr>
                <w:rFonts w:ascii="Times New Roman" w:hAnsi="Times New Roman"/>
                <w:b/>
              </w:rPr>
              <w:t>Wydatki ogółem</w:t>
            </w:r>
          </w:p>
        </w:tc>
        <w:tc>
          <w:tcPr>
            <w:tcW w:w="569" w:type="dxa"/>
            <w:gridSpan w:val="2"/>
            <w:shd w:val="clear" w:color="auto" w:fill="FFFFFF"/>
          </w:tcPr>
          <w:p w14:paraId="48C9663F"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w:t>
            </w:r>
          </w:p>
        </w:tc>
        <w:tc>
          <w:tcPr>
            <w:tcW w:w="570" w:type="dxa"/>
            <w:gridSpan w:val="2"/>
            <w:shd w:val="clear" w:color="auto" w:fill="FFFFFF"/>
          </w:tcPr>
          <w:p w14:paraId="71645CEB"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gridSpan w:val="2"/>
            <w:shd w:val="clear" w:color="auto" w:fill="FFFFFF"/>
          </w:tcPr>
          <w:p w14:paraId="324DA200"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69" w:type="dxa"/>
            <w:gridSpan w:val="2"/>
            <w:shd w:val="clear" w:color="auto" w:fill="FFFFFF"/>
          </w:tcPr>
          <w:p w14:paraId="674CB2F0"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gridSpan w:val="2"/>
            <w:shd w:val="clear" w:color="auto" w:fill="FFFFFF"/>
          </w:tcPr>
          <w:p w14:paraId="04799255"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shd w:val="clear" w:color="auto" w:fill="FFFFFF"/>
          </w:tcPr>
          <w:p w14:paraId="46EF84FF"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gridSpan w:val="4"/>
            <w:shd w:val="clear" w:color="auto" w:fill="FFFFFF"/>
          </w:tcPr>
          <w:p w14:paraId="6DCDF45D"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69" w:type="dxa"/>
            <w:gridSpan w:val="3"/>
            <w:shd w:val="clear" w:color="auto" w:fill="FFFFFF"/>
          </w:tcPr>
          <w:p w14:paraId="112489CD"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shd w:val="clear" w:color="auto" w:fill="FFFFFF"/>
          </w:tcPr>
          <w:p w14:paraId="41C7343F"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gridSpan w:val="3"/>
            <w:shd w:val="clear" w:color="auto" w:fill="FFFFFF"/>
          </w:tcPr>
          <w:p w14:paraId="122C2643"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shd w:val="clear" w:color="auto" w:fill="FFFFFF"/>
          </w:tcPr>
          <w:p w14:paraId="42C495DB"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1547" w:type="dxa"/>
            <w:gridSpan w:val="3"/>
            <w:shd w:val="clear" w:color="auto" w:fill="FFFFFF"/>
          </w:tcPr>
          <w:p w14:paraId="0AB5D146" w14:textId="77777777" w:rsidR="00E238FE" w:rsidRPr="009F1B14" w:rsidRDefault="00E238FE" w:rsidP="00A57753">
            <w:pPr>
              <w:spacing w:line="240" w:lineRule="auto"/>
              <w:rPr>
                <w:rFonts w:ascii="Times New Roman" w:hAnsi="Times New Roman"/>
                <w:sz w:val="20"/>
                <w:szCs w:val="20"/>
              </w:rPr>
            </w:pPr>
            <w:r w:rsidRPr="009F1B14">
              <w:rPr>
                <w:rFonts w:ascii="Times New Roman" w:hAnsi="Times New Roman"/>
                <w:sz w:val="20"/>
                <w:szCs w:val="20"/>
              </w:rPr>
              <w:t>-15</w:t>
            </w:r>
          </w:p>
        </w:tc>
      </w:tr>
      <w:tr w:rsidR="00E238FE" w:rsidRPr="002269DF" w14:paraId="5A4383C9" w14:textId="77777777" w:rsidTr="00676C8D">
        <w:trPr>
          <w:trHeight w:val="330"/>
        </w:trPr>
        <w:tc>
          <w:tcPr>
            <w:tcW w:w="3133" w:type="dxa"/>
            <w:gridSpan w:val="4"/>
            <w:shd w:val="clear" w:color="auto" w:fill="FFFFFF"/>
            <w:vAlign w:val="center"/>
          </w:tcPr>
          <w:p w14:paraId="747439DA" w14:textId="77777777" w:rsidR="00E238FE" w:rsidRPr="002269DF" w:rsidRDefault="00E238FE" w:rsidP="00D75DD2">
            <w:pPr>
              <w:spacing w:line="240" w:lineRule="auto"/>
              <w:rPr>
                <w:rFonts w:ascii="Times New Roman" w:hAnsi="Times New Roman"/>
              </w:rPr>
            </w:pPr>
            <w:r w:rsidRPr="002269DF">
              <w:rPr>
                <w:rFonts w:ascii="Times New Roman" w:hAnsi="Times New Roman"/>
              </w:rPr>
              <w:lastRenderedPageBreak/>
              <w:t>budżet państwa</w:t>
            </w:r>
          </w:p>
        </w:tc>
        <w:tc>
          <w:tcPr>
            <w:tcW w:w="569" w:type="dxa"/>
            <w:gridSpan w:val="2"/>
            <w:shd w:val="clear" w:color="auto" w:fill="FFFFFF"/>
          </w:tcPr>
          <w:p w14:paraId="29DC46EC"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w:t>
            </w:r>
          </w:p>
        </w:tc>
        <w:tc>
          <w:tcPr>
            <w:tcW w:w="570" w:type="dxa"/>
            <w:gridSpan w:val="2"/>
            <w:shd w:val="clear" w:color="auto" w:fill="FFFFFF"/>
          </w:tcPr>
          <w:p w14:paraId="0299A6C7"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gridSpan w:val="2"/>
            <w:shd w:val="clear" w:color="auto" w:fill="FFFFFF"/>
          </w:tcPr>
          <w:p w14:paraId="5B9FC801"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69" w:type="dxa"/>
            <w:gridSpan w:val="2"/>
            <w:shd w:val="clear" w:color="auto" w:fill="FFFFFF"/>
          </w:tcPr>
          <w:p w14:paraId="1BC8B28C"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gridSpan w:val="2"/>
            <w:shd w:val="clear" w:color="auto" w:fill="FFFFFF"/>
          </w:tcPr>
          <w:p w14:paraId="7D7669B7"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shd w:val="clear" w:color="auto" w:fill="FFFFFF"/>
          </w:tcPr>
          <w:p w14:paraId="42C28EE9"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gridSpan w:val="4"/>
            <w:shd w:val="clear" w:color="auto" w:fill="FFFFFF"/>
          </w:tcPr>
          <w:p w14:paraId="3CF15D2E"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69" w:type="dxa"/>
            <w:gridSpan w:val="3"/>
            <w:shd w:val="clear" w:color="auto" w:fill="FFFFFF"/>
          </w:tcPr>
          <w:p w14:paraId="12909411"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shd w:val="clear" w:color="auto" w:fill="FFFFFF"/>
          </w:tcPr>
          <w:p w14:paraId="4F8D084C"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gridSpan w:val="3"/>
            <w:shd w:val="clear" w:color="auto" w:fill="FFFFFF"/>
          </w:tcPr>
          <w:p w14:paraId="70842752"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570" w:type="dxa"/>
            <w:shd w:val="clear" w:color="auto" w:fill="FFFFFF"/>
          </w:tcPr>
          <w:p w14:paraId="18E55B38" w14:textId="77777777" w:rsidR="00E238FE" w:rsidRPr="009F1B14" w:rsidRDefault="00E238FE" w:rsidP="00D75DD2">
            <w:pPr>
              <w:spacing w:line="240" w:lineRule="auto"/>
              <w:rPr>
                <w:rFonts w:ascii="Times New Roman" w:hAnsi="Times New Roman"/>
                <w:sz w:val="20"/>
                <w:szCs w:val="20"/>
              </w:rPr>
            </w:pPr>
            <w:r w:rsidRPr="009F1B14">
              <w:rPr>
                <w:rFonts w:ascii="Times New Roman" w:hAnsi="Times New Roman"/>
                <w:sz w:val="20"/>
                <w:szCs w:val="20"/>
              </w:rPr>
              <w:t>-1,5</w:t>
            </w:r>
          </w:p>
        </w:tc>
        <w:tc>
          <w:tcPr>
            <w:tcW w:w="1547" w:type="dxa"/>
            <w:gridSpan w:val="3"/>
            <w:shd w:val="clear" w:color="auto" w:fill="FFFFFF"/>
          </w:tcPr>
          <w:p w14:paraId="31E93282" w14:textId="77777777" w:rsidR="00E238FE" w:rsidRPr="009F1B14" w:rsidRDefault="00E238FE" w:rsidP="00A57753">
            <w:pPr>
              <w:spacing w:line="240" w:lineRule="auto"/>
              <w:rPr>
                <w:rFonts w:ascii="Times New Roman" w:hAnsi="Times New Roman"/>
                <w:sz w:val="20"/>
                <w:szCs w:val="20"/>
              </w:rPr>
            </w:pPr>
            <w:r w:rsidRPr="009F1B14">
              <w:rPr>
                <w:rFonts w:ascii="Times New Roman" w:hAnsi="Times New Roman"/>
                <w:sz w:val="20"/>
                <w:szCs w:val="20"/>
              </w:rPr>
              <w:t>-15</w:t>
            </w:r>
          </w:p>
        </w:tc>
      </w:tr>
      <w:tr w:rsidR="00E238FE" w:rsidRPr="002269DF" w14:paraId="7F9433B4" w14:textId="77777777" w:rsidTr="00676C8D">
        <w:trPr>
          <w:trHeight w:val="351"/>
        </w:trPr>
        <w:tc>
          <w:tcPr>
            <w:tcW w:w="3133" w:type="dxa"/>
            <w:gridSpan w:val="4"/>
            <w:shd w:val="clear" w:color="auto" w:fill="FFFFFF"/>
            <w:vAlign w:val="center"/>
          </w:tcPr>
          <w:p w14:paraId="6B2398B3" w14:textId="77777777" w:rsidR="00E238FE" w:rsidRPr="002269DF" w:rsidRDefault="00E238FE" w:rsidP="00D75DD2">
            <w:pPr>
              <w:spacing w:line="240" w:lineRule="auto"/>
              <w:rPr>
                <w:rFonts w:ascii="Times New Roman" w:hAnsi="Times New Roman"/>
              </w:rPr>
            </w:pPr>
            <w:r w:rsidRPr="002269DF">
              <w:rPr>
                <w:rFonts w:ascii="Times New Roman" w:hAnsi="Times New Roman"/>
              </w:rPr>
              <w:t>JST</w:t>
            </w:r>
          </w:p>
        </w:tc>
        <w:tc>
          <w:tcPr>
            <w:tcW w:w="569" w:type="dxa"/>
            <w:gridSpan w:val="2"/>
            <w:shd w:val="clear" w:color="auto" w:fill="FFFFFF"/>
          </w:tcPr>
          <w:p w14:paraId="4FA5ED55" w14:textId="77777777" w:rsidR="00E238FE" w:rsidRPr="002269DF" w:rsidRDefault="00E238FE" w:rsidP="00D75DD2">
            <w:pPr>
              <w:spacing w:line="240" w:lineRule="auto"/>
              <w:rPr>
                <w:rFonts w:ascii="Times New Roman" w:hAnsi="Times New Roman"/>
              </w:rPr>
            </w:pPr>
          </w:p>
        </w:tc>
        <w:tc>
          <w:tcPr>
            <w:tcW w:w="570" w:type="dxa"/>
            <w:gridSpan w:val="2"/>
            <w:shd w:val="clear" w:color="auto" w:fill="FFFFFF"/>
          </w:tcPr>
          <w:p w14:paraId="2B8EBBB5" w14:textId="77777777" w:rsidR="00E238FE" w:rsidRPr="002269DF" w:rsidRDefault="00E238FE" w:rsidP="00D75DD2">
            <w:pPr>
              <w:spacing w:line="240" w:lineRule="auto"/>
              <w:rPr>
                <w:rFonts w:ascii="Times New Roman" w:hAnsi="Times New Roman"/>
              </w:rPr>
            </w:pPr>
          </w:p>
        </w:tc>
        <w:tc>
          <w:tcPr>
            <w:tcW w:w="570" w:type="dxa"/>
            <w:gridSpan w:val="2"/>
            <w:shd w:val="clear" w:color="auto" w:fill="FFFFFF"/>
          </w:tcPr>
          <w:p w14:paraId="1DC3E2D3" w14:textId="77777777" w:rsidR="00E238FE" w:rsidRPr="002269DF" w:rsidRDefault="00E238FE" w:rsidP="00D75DD2">
            <w:pPr>
              <w:spacing w:line="240" w:lineRule="auto"/>
              <w:rPr>
                <w:rFonts w:ascii="Times New Roman" w:hAnsi="Times New Roman"/>
              </w:rPr>
            </w:pPr>
          </w:p>
        </w:tc>
        <w:tc>
          <w:tcPr>
            <w:tcW w:w="569" w:type="dxa"/>
            <w:gridSpan w:val="2"/>
            <w:shd w:val="clear" w:color="auto" w:fill="FFFFFF"/>
          </w:tcPr>
          <w:p w14:paraId="7EE18AD8" w14:textId="77777777" w:rsidR="00E238FE" w:rsidRPr="002269DF" w:rsidRDefault="00E238FE" w:rsidP="00D75DD2">
            <w:pPr>
              <w:spacing w:line="240" w:lineRule="auto"/>
              <w:rPr>
                <w:rFonts w:ascii="Times New Roman" w:hAnsi="Times New Roman"/>
              </w:rPr>
            </w:pPr>
          </w:p>
        </w:tc>
        <w:tc>
          <w:tcPr>
            <w:tcW w:w="570" w:type="dxa"/>
            <w:gridSpan w:val="2"/>
            <w:shd w:val="clear" w:color="auto" w:fill="FFFFFF"/>
          </w:tcPr>
          <w:p w14:paraId="2D988AA3" w14:textId="77777777" w:rsidR="00E238FE" w:rsidRPr="002269DF" w:rsidRDefault="00E238FE" w:rsidP="00D75DD2">
            <w:pPr>
              <w:spacing w:line="240" w:lineRule="auto"/>
              <w:rPr>
                <w:rFonts w:ascii="Times New Roman" w:hAnsi="Times New Roman"/>
              </w:rPr>
            </w:pPr>
          </w:p>
        </w:tc>
        <w:tc>
          <w:tcPr>
            <w:tcW w:w="570" w:type="dxa"/>
            <w:shd w:val="clear" w:color="auto" w:fill="FFFFFF"/>
          </w:tcPr>
          <w:p w14:paraId="500B66F5" w14:textId="77777777" w:rsidR="00E238FE" w:rsidRPr="002269DF" w:rsidRDefault="00E238FE" w:rsidP="00D75DD2">
            <w:pPr>
              <w:spacing w:line="240" w:lineRule="auto"/>
              <w:rPr>
                <w:rFonts w:ascii="Times New Roman" w:hAnsi="Times New Roman"/>
              </w:rPr>
            </w:pPr>
          </w:p>
        </w:tc>
        <w:tc>
          <w:tcPr>
            <w:tcW w:w="570" w:type="dxa"/>
            <w:gridSpan w:val="4"/>
            <w:shd w:val="clear" w:color="auto" w:fill="FFFFFF"/>
          </w:tcPr>
          <w:p w14:paraId="60799361" w14:textId="77777777" w:rsidR="00E238FE" w:rsidRPr="002269DF" w:rsidRDefault="00E238FE" w:rsidP="00D75DD2">
            <w:pPr>
              <w:spacing w:line="240" w:lineRule="auto"/>
              <w:rPr>
                <w:rFonts w:ascii="Times New Roman" w:hAnsi="Times New Roman"/>
              </w:rPr>
            </w:pPr>
          </w:p>
        </w:tc>
        <w:tc>
          <w:tcPr>
            <w:tcW w:w="569" w:type="dxa"/>
            <w:gridSpan w:val="3"/>
            <w:shd w:val="clear" w:color="auto" w:fill="FFFFFF"/>
          </w:tcPr>
          <w:p w14:paraId="3317C9EE" w14:textId="77777777" w:rsidR="00E238FE" w:rsidRPr="002269DF" w:rsidRDefault="00E238FE" w:rsidP="00D75DD2">
            <w:pPr>
              <w:spacing w:line="240" w:lineRule="auto"/>
              <w:rPr>
                <w:rFonts w:ascii="Times New Roman" w:hAnsi="Times New Roman"/>
              </w:rPr>
            </w:pPr>
          </w:p>
        </w:tc>
        <w:tc>
          <w:tcPr>
            <w:tcW w:w="570" w:type="dxa"/>
            <w:shd w:val="clear" w:color="auto" w:fill="FFFFFF"/>
          </w:tcPr>
          <w:p w14:paraId="32AA7332" w14:textId="77777777" w:rsidR="00E238FE" w:rsidRPr="002269DF" w:rsidRDefault="00E238FE" w:rsidP="00D75DD2">
            <w:pPr>
              <w:spacing w:line="240" w:lineRule="auto"/>
              <w:rPr>
                <w:rFonts w:ascii="Times New Roman" w:hAnsi="Times New Roman"/>
              </w:rPr>
            </w:pPr>
          </w:p>
        </w:tc>
        <w:tc>
          <w:tcPr>
            <w:tcW w:w="570" w:type="dxa"/>
            <w:gridSpan w:val="3"/>
            <w:shd w:val="clear" w:color="auto" w:fill="FFFFFF"/>
          </w:tcPr>
          <w:p w14:paraId="501226CC" w14:textId="77777777" w:rsidR="00E238FE" w:rsidRPr="002269DF" w:rsidRDefault="00E238FE" w:rsidP="00D75DD2">
            <w:pPr>
              <w:spacing w:line="240" w:lineRule="auto"/>
              <w:rPr>
                <w:rFonts w:ascii="Times New Roman" w:hAnsi="Times New Roman"/>
              </w:rPr>
            </w:pPr>
          </w:p>
        </w:tc>
        <w:tc>
          <w:tcPr>
            <w:tcW w:w="570" w:type="dxa"/>
            <w:shd w:val="clear" w:color="auto" w:fill="FFFFFF"/>
          </w:tcPr>
          <w:p w14:paraId="63672D95" w14:textId="77777777" w:rsidR="00E238FE" w:rsidRPr="002269DF" w:rsidRDefault="00E238FE" w:rsidP="00D75DD2">
            <w:pPr>
              <w:spacing w:line="240" w:lineRule="auto"/>
              <w:rPr>
                <w:rFonts w:ascii="Times New Roman" w:hAnsi="Times New Roman"/>
              </w:rPr>
            </w:pPr>
          </w:p>
        </w:tc>
        <w:tc>
          <w:tcPr>
            <w:tcW w:w="1547" w:type="dxa"/>
            <w:gridSpan w:val="3"/>
            <w:shd w:val="clear" w:color="auto" w:fill="FFFFFF"/>
          </w:tcPr>
          <w:p w14:paraId="084CA64B" w14:textId="77777777" w:rsidR="00E238FE" w:rsidRPr="002269DF" w:rsidRDefault="00E238FE" w:rsidP="00D75DD2">
            <w:pPr>
              <w:spacing w:line="240" w:lineRule="auto"/>
              <w:rPr>
                <w:rFonts w:ascii="Times New Roman" w:hAnsi="Times New Roman"/>
              </w:rPr>
            </w:pPr>
          </w:p>
        </w:tc>
      </w:tr>
      <w:tr w:rsidR="00E238FE" w:rsidRPr="002269DF" w14:paraId="27AE2EB0" w14:textId="77777777" w:rsidTr="00676C8D">
        <w:trPr>
          <w:trHeight w:val="351"/>
        </w:trPr>
        <w:tc>
          <w:tcPr>
            <w:tcW w:w="3133" w:type="dxa"/>
            <w:gridSpan w:val="4"/>
            <w:shd w:val="clear" w:color="auto" w:fill="FFFFFF"/>
            <w:vAlign w:val="center"/>
          </w:tcPr>
          <w:p w14:paraId="739083E3" w14:textId="77777777" w:rsidR="00E238FE" w:rsidRPr="002269DF" w:rsidRDefault="00E238FE" w:rsidP="00D75DD2">
            <w:pPr>
              <w:spacing w:line="240" w:lineRule="auto"/>
              <w:rPr>
                <w:rFonts w:ascii="Times New Roman" w:hAnsi="Times New Roman"/>
              </w:rPr>
            </w:pPr>
            <w:r w:rsidRPr="002269DF">
              <w:rPr>
                <w:rFonts w:ascii="Times New Roman" w:hAnsi="Times New Roman"/>
              </w:rPr>
              <w:t>pozostałe jednostki (oddzielnie)</w:t>
            </w:r>
          </w:p>
        </w:tc>
        <w:tc>
          <w:tcPr>
            <w:tcW w:w="569" w:type="dxa"/>
            <w:gridSpan w:val="2"/>
            <w:shd w:val="clear" w:color="auto" w:fill="FFFFFF"/>
          </w:tcPr>
          <w:p w14:paraId="0A209347" w14:textId="77777777" w:rsidR="00E238FE" w:rsidRPr="002269DF" w:rsidRDefault="00E238FE" w:rsidP="00D75DD2">
            <w:pPr>
              <w:spacing w:line="240" w:lineRule="auto"/>
              <w:rPr>
                <w:rFonts w:ascii="Times New Roman" w:hAnsi="Times New Roman"/>
              </w:rPr>
            </w:pPr>
          </w:p>
        </w:tc>
        <w:tc>
          <w:tcPr>
            <w:tcW w:w="570" w:type="dxa"/>
            <w:gridSpan w:val="2"/>
            <w:shd w:val="clear" w:color="auto" w:fill="FFFFFF"/>
          </w:tcPr>
          <w:p w14:paraId="1EBECF5B" w14:textId="77777777" w:rsidR="00E238FE" w:rsidRPr="002269DF" w:rsidRDefault="00E238FE" w:rsidP="00D75DD2">
            <w:pPr>
              <w:spacing w:line="240" w:lineRule="auto"/>
              <w:rPr>
                <w:rFonts w:ascii="Times New Roman" w:hAnsi="Times New Roman"/>
              </w:rPr>
            </w:pPr>
          </w:p>
        </w:tc>
        <w:tc>
          <w:tcPr>
            <w:tcW w:w="570" w:type="dxa"/>
            <w:gridSpan w:val="2"/>
            <w:shd w:val="clear" w:color="auto" w:fill="FFFFFF"/>
          </w:tcPr>
          <w:p w14:paraId="19259141" w14:textId="77777777" w:rsidR="00E238FE" w:rsidRPr="002269DF" w:rsidRDefault="00E238FE" w:rsidP="00D75DD2">
            <w:pPr>
              <w:spacing w:line="240" w:lineRule="auto"/>
              <w:rPr>
                <w:rFonts w:ascii="Times New Roman" w:hAnsi="Times New Roman"/>
              </w:rPr>
            </w:pPr>
          </w:p>
        </w:tc>
        <w:tc>
          <w:tcPr>
            <w:tcW w:w="569" w:type="dxa"/>
            <w:gridSpan w:val="2"/>
            <w:shd w:val="clear" w:color="auto" w:fill="FFFFFF"/>
          </w:tcPr>
          <w:p w14:paraId="5142311F" w14:textId="77777777" w:rsidR="00E238FE" w:rsidRPr="002269DF" w:rsidRDefault="00E238FE" w:rsidP="00D75DD2">
            <w:pPr>
              <w:spacing w:line="240" w:lineRule="auto"/>
              <w:rPr>
                <w:rFonts w:ascii="Times New Roman" w:hAnsi="Times New Roman"/>
              </w:rPr>
            </w:pPr>
          </w:p>
        </w:tc>
        <w:tc>
          <w:tcPr>
            <w:tcW w:w="570" w:type="dxa"/>
            <w:gridSpan w:val="2"/>
            <w:shd w:val="clear" w:color="auto" w:fill="FFFFFF"/>
          </w:tcPr>
          <w:p w14:paraId="7363492D" w14:textId="77777777" w:rsidR="00E238FE" w:rsidRPr="002269DF" w:rsidRDefault="00E238FE" w:rsidP="00D75DD2">
            <w:pPr>
              <w:spacing w:line="240" w:lineRule="auto"/>
              <w:rPr>
                <w:rFonts w:ascii="Times New Roman" w:hAnsi="Times New Roman"/>
              </w:rPr>
            </w:pPr>
          </w:p>
        </w:tc>
        <w:tc>
          <w:tcPr>
            <w:tcW w:w="570" w:type="dxa"/>
            <w:shd w:val="clear" w:color="auto" w:fill="FFFFFF"/>
          </w:tcPr>
          <w:p w14:paraId="42FB3829" w14:textId="77777777" w:rsidR="00E238FE" w:rsidRPr="002269DF" w:rsidRDefault="00E238FE" w:rsidP="00D75DD2">
            <w:pPr>
              <w:spacing w:line="240" w:lineRule="auto"/>
              <w:rPr>
                <w:rFonts w:ascii="Times New Roman" w:hAnsi="Times New Roman"/>
              </w:rPr>
            </w:pPr>
          </w:p>
        </w:tc>
        <w:tc>
          <w:tcPr>
            <w:tcW w:w="570" w:type="dxa"/>
            <w:gridSpan w:val="4"/>
            <w:shd w:val="clear" w:color="auto" w:fill="FFFFFF"/>
          </w:tcPr>
          <w:p w14:paraId="3AA65DA1" w14:textId="77777777" w:rsidR="00E238FE" w:rsidRPr="002269DF" w:rsidRDefault="00E238FE" w:rsidP="00D75DD2">
            <w:pPr>
              <w:spacing w:line="240" w:lineRule="auto"/>
              <w:rPr>
                <w:rFonts w:ascii="Times New Roman" w:hAnsi="Times New Roman"/>
              </w:rPr>
            </w:pPr>
          </w:p>
        </w:tc>
        <w:tc>
          <w:tcPr>
            <w:tcW w:w="569" w:type="dxa"/>
            <w:gridSpan w:val="3"/>
            <w:shd w:val="clear" w:color="auto" w:fill="FFFFFF"/>
          </w:tcPr>
          <w:p w14:paraId="1B62B013" w14:textId="77777777" w:rsidR="00E238FE" w:rsidRPr="002269DF" w:rsidRDefault="00E238FE" w:rsidP="00D75DD2">
            <w:pPr>
              <w:spacing w:line="240" w:lineRule="auto"/>
              <w:rPr>
                <w:rFonts w:ascii="Times New Roman" w:hAnsi="Times New Roman"/>
              </w:rPr>
            </w:pPr>
          </w:p>
        </w:tc>
        <w:tc>
          <w:tcPr>
            <w:tcW w:w="570" w:type="dxa"/>
            <w:shd w:val="clear" w:color="auto" w:fill="FFFFFF"/>
          </w:tcPr>
          <w:p w14:paraId="3409806D" w14:textId="77777777" w:rsidR="00E238FE" w:rsidRPr="002269DF" w:rsidRDefault="00E238FE" w:rsidP="00D75DD2">
            <w:pPr>
              <w:spacing w:line="240" w:lineRule="auto"/>
              <w:rPr>
                <w:rFonts w:ascii="Times New Roman" w:hAnsi="Times New Roman"/>
              </w:rPr>
            </w:pPr>
          </w:p>
        </w:tc>
        <w:tc>
          <w:tcPr>
            <w:tcW w:w="570" w:type="dxa"/>
            <w:gridSpan w:val="3"/>
            <w:shd w:val="clear" w:color="auto" w:fill="FFFFFF"/>
          </w:tcPr>
          <w:p w14:paraId="6B909FED" w14:textId="77777777" w:rsidR="00E238FE" w:rsidRPr="002269DF" w:rsidRDefault="00E238FE" w:rsidP="00D75DD2">
            <w:pPr>
              <w:spacing w:line="240" w:lineRule="auto"/>
              <w:rPr>
                <w:rFonts w:ascii="Times New Roman" w:hAnsi="Times New Roman"/>
              </w:rPr>
            </w:pPr>
          </w:p>
        </w:tc>
        <w:tc>
          <w:tcPr>
            <w:tcW w:w="570" w:type="dxa"/>
            <w:shd w:val="clear" w:color="auto" w:fill="FFFFFF"/>
          </w:tcPr>
          <w:p w14:paraId="26542822" w14:textId="77777777" w:rsidR="00E238FE" w:rsidRPr="002269DF" w:rsidRDefault="00E238FE" w:rsidP="00D75DD2">
            <w:pPr>
              <w:spacing w:line="240" w:lineRule="auto"/>
              <w:rPr>
                <w:rFonts w:ascii="Times New Roman" w:hAnsi="Times New Roman"/>
              </w:rPr>
            </w:pPr>
          </w:p>
        </w:tc>
        <w:tc>
          <w:tcPr>
            <w:tcW w:w="1547" w:type="dxa"/>
            <w:gridSpan w:val="3"/>
            <w:shd w:val="clear" w:color="auto" w:fill="FFFFFF"/>
          </w:tcPr>
          <w:p w14:paraId="05945C86" w14:textId="77777777" w:rsidR="00E238FE" w:rsidRPr="002269DF" w:rsidRDefault="00E238FE" w:rsidP="00D75DD2">
            <w:pPr>
              <w:spacing w:line="240" w:lineRule="auto"/>
              <w:rPr>
                <w:rFonts w:ascii="Times New Roman" w:hAnsi="Times New Roman"/>
              </w:rPr>
            </w:pPr>
          </w:p>
        </w:tc>
      </w:tr>
      <w:tr w:rsidR="0063737A" w:rsidRPr="002269DF" w14:paraId="66AB4698" w14:textId="77777777" w:rsidTr="009F1B14">
        <w:trPr>
          <w:trHeight w:val="360"/>
        </w:trPr>
        <w:tc>
          <w:tcPr>
            <w:tcW w:w="3133" w:type="dxa"/>
            <w:gridSpan w:val="4"/>
            <w:shd w:val="clear" w:color="auto" w:fill="FFFFFF"/>
            <w:vAlign w:val="center"/>
          </w:tcPr>
          <w:p w14:paraId="6041DDA4" w14:textId="77777777" w:rsidR="0063737A" w:rsidRPr="002269DF" w:rsidRDefault="0063737A" w:rsidP="0063737A">
            <w:pPr>
              <w:spacing w:line="240" w:lineRule="auto"/>
              <w:rPr>
                <w:rFonts w:ascii="Times New Roman" w:hAnsi="Times New Roman"/>
              </w:rPr>
            </w:pPr>
            <w:r w:rsidRPr="002269DF">
              <w:rPr>
                <w:rFonts w:ascii="Times New Roman" w:hAnsi="Times New Roman"/>
                <w:b/>
              </w:rPr>
              <w:t>Saldo ogółem</w:t>
            </w:r>
          </w:p>
        </w:tc>
        <w:tc>
          <w:tcPr>
            <w:tcW w:w="569" w:type="dxa"/>
            <w:gridSpan w:val="2"/>
            <w:shd w:val="clear" w:color="auto" w:fill="FFFFFF"/>
            <w:vAlign w:val="center"/>
          </w:tcPr>
          <w:p w14:paraId="59E0D643" w14:textId="68A12520"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-668,0</w:t>
            </w:r>
          </w:p>
        </w:tc>
        <w:tc>
          <w:tcPr>
            <w:tcW w:w="570" w:type="dxa"/>
            <w:gridSpan w:val="2"/>
            <w:shd w:val="clear" w:color="auto" w:fill="FFFFFF"/>
            <w:vAlign w:val="center"/>
          </w:tcPr>
          <w:p w14:paraId="2188A195" w14:textId="091A2B13"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-439,5</w:t>
            </w:r>
          </w:p>
        </w:tc>
        <w:tc>
          <w:tcPr>
            <w:tcW w:w="570" w:type="dxa"/>
            <w:gridSpan w:val="2"/>
            <w:shd w:val="clear" w:color="auto" w:fill="FFFFFF"/>
            <w:vAlign w:val="center"/>
          </w:tcPr>
          <w:p w14:paraId="11AB916C" w14:textId="4BF32156"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-278,5</w:t>
            </w:r>
          </w:p>
        </w:tc>
        <w:tc>
          <w:tcPr>
            <w:tcW w:w="569" w:type="dxa"/>
            <w:gridSpan w:val="2"/>
            <w:shd w:val="clear" w:color="auto" w:fill="FFFFFF"/>
            <w:vAlign w:val="center"/>
          </w:tcPr>
          <w:p w14:paraId="7DF689DD" w14:textId="4952CB3D"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-275,5</w:t>
            </w:r>
          </w:p>
        </w:tc>
        <w:tc>
          <w:tcPr>
            <w:tcW w:w="570" w:type="dxa"/>
            <w:gridSpan w:val="2"/>
            <w:shd w:val="clear" w:color="auto" w:fill="FFFFFF"/>
            <w:vAlign w:val="center"/>
          </w:tcPr>
          <w:p w14:paraId="7613D4E0" w14:textId="084BCBB0"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-272,5</w:t>
            </w:r>
          </w:p>
        </w:tc>
        <w:tc>
          <w:tcPr>
            <w:tcW w:w="570" w:type="dxa"/>
            <w:shd w:val="clear" w:color="auto" w:fill="FFFFFF"/>
            <w:vAlign w:val="center"/>
          </w:tcPr>
          <w:p w14:paraId="71DA7D4C" w14:textId="5ED1E153"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-280,5</w:t>
            </w:r>
          </w:p>
        </w:tc>
        <w:tc>
          <w:tcPr>
            <w:tcW w:w="570" w:type="dxa"/>
            <w:gridSpan w:val="4"/>
            <w:shd w:val="clear" w:color="auto" w:fill="FFFFFF"/>
            <w:vAlign w:val="center"/>
          </w:tcPr>
          <w:p w14:paraId="6605CA69" w14:textId="34BE0472"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-288,5</w:t>
            </w:r>
          </w:p>
        </w:tc>
        <w:tc>
          <w:tcPr>
            <w:tcW w:w="569" w:type="dxa"/>
            <w:gridSpan w:val="3"/>
            <w:shd w:val="clear" w:color="auto" w:fill="FFFFFF"/>
            <w:vAlign w:val="center"/>
          </w:tcPr>
          <w:p w14:paraId="07331D74" w14:textId="78BD545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-296,5</w:t>
            </w:r>
          </w:p>
        </w:tc>
        <w:tc>
          <w:tcPr>
            <w:tcW w:w="570" w:type="dxa"/>
            <w:shd w:val="clear" w:color="auto" w:fill="FFFFFF"/>
            <w:vAlign w:val="center"/>
          </w:tcPr>
          <w:p w14:paraId="4EFD8F8E" w14:textId="12598006"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-305,5</w:t>
            </w:r>
          </w:p>
        </w:tc>
        <w:tc>
          <w:tcPr>
            <w:tcW w:w="570" w:type="dxa"/>
            <w:gridSpan w:val="3"/>
            <w:shd w:val="clear" w:color="auto" w:fill="FFFFFF"/>
            <w:vAlign w:val="center"/>
          </w:tcPr>
          <w:p w14:paraId="70791F10" w14:textId="0E9127BF"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-314,5</w:t>
            </w:r>
          </w:p>
        </w:tc>
        <w:tc>
          <w:tcPr>
            <w:tcW w:w="570" w:type="dxa"/>
            <w:shd w:val="clear" w:color="auto" w:fill="FFFFFF"/>
            <w:vAlign w:val="center"/>
          </w:tcPr>
          <w:p w14:paraId="71A998E7" w14:textId="71AE7B63"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-323,5</w:t>
            </w:r>
          </w:p>
        </w:tc>
        <w:tc>
          <w:tcPr>
            <w:tcW w:w="1547" w:type="dxa"/>
            <w:gridSpan w:val="3"/>
            <w:shd w:val="clear" w:color="auto" w:fill="FFFFFF"/>
            <w:vAlign w:val="center"/>
          </w:tcPr>
          <w:p w14:paraId="125BCBEF" w14:textId="4DC07D39"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-3 743,0</w:t>
            </w:r>
          </w:p>
        </w:tc>
      </w:tr>
      <w:tr w:rsidR="0063737A" w:rsidRPr="002269DF" w14:paraId="7F1E81F5" w14:textId="77777777" w:rsidTr="009F1B14">
        <w:trPr>
          <w:trHeight w:val="360"/>
        </w:trPr>
        <w:tc>
          <w:tcPr>
            <w:tcW w:w="3133" w:type="dxa"/>
            <w:gridSpan w:val="4"/>
            <w:shd w:val="clear" w:color="auto" w:fill="FFFFFF"/>
            <w:vAlign w:val="center"/>
          </w:tcPr>
          <w:p w14:paraId="53C02CF4" w14:textId="77777777" w:rsidR="0063737A" w:rsidRPr="002269DF" w:rsidRDefault="0063737A" w:rsidP="0063737A">
            <w:pPr>
              <w:spacing w:line="240" w:lineRule="auto"/>
              <w:rPr>
                <w:rFonts w:ascii="Times New Roman" w:hAnsi="Times New Roman"/>
              </w:rPr>
            </w:pPr>
            <w:r w:rsidRPr="002269DF">
              <w:rPr>
                <w:rFonts w:ascii="Times New Roman" w:hAnsi="Times New Roman"/>
              </w:rPr>
              <w:t>budżet państwa</w:t>
            </w:r>
          </w:p>
        </w:tc>
        <w:tc>
          <w:tcPr>
            <w:tcW w:w="569" w:type="dxa"/>
            <w:gridSpan w:val="2"/>
            <w:shd w:val="clear" w:color="auto" w:fill="FFFFFF"/>
            <w:vAlign w:val="center"/>
          </w:tcPr>
          <w:p w14:paraId="0E897086" w14:textId="6C90E213"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-419,0</w:t>
            </w:r>
          </w:p>
        </w:tc>
        <w:tc>
          <w:tcPr>
            <w:tcW w:w="570" w:type="dxa"/>
            <w:gridSpan w:val="2"/>
            <w:shd w:val="clear" w:color="auto" w:fill="FFFFFF"/>
            <w:vAlign w:val="center"/>
          </w:tcPr>
          <w:p w14:paraId="49AE7D07" w14:textId="0D3DE219"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-313,5</w:t>
            </w:r>
          </w:p>
        </w:tc>
        <w:tc>
          <w:tcPr>
            <w:tcW w:w="570" w:type="dxa"/>
            <w:gridSpan w:val="2"/>
            <w:shd w:val="clear" w:color="auto" w:fill="FFFFFF"/>
            <w:vAlign w:val="center"/>
          </w:tcPr>
          <w:p w14:paraId="45FF3FCC" w14:textId="1A17A1D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-194,5</w:t>
            </w:r>
          </w:p>
        </w:tc>
        <w:tc>
          <w:tcPr>
            <w:tcW w:w="569" w:type="dxa"/>
            <w:gridSpan w:val="2"/>
            <w:shd w:val="clear" w:color="auto" w:fill="FFFFFF"/>
            <w:vAlign w:val="center"/>
          </w:tcPr>
          <w:p w14:paraId="6C3F4F2C" w14:textId="17A876E5"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-191,5</w:t>
            </w:r>
          </w:p>
        </w:tc>
        <w:tc>
          <w:tcPr>
            <w:tcW w:w="570" w:type="dxa"/>
            <w:gridSpan w:val="2"/>
            <w:shd w:val="clear" w:color="auto" w:fill="FFFFFF"/>
            <w:vAlign w:val="center"/>
          </w:tcPr>
          <w:p w14:paraId="53CD318F" w14:textId="34E5F51A"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-188,5</w:t>
            </w:r>
          </w:p>
        </w:tc>
        <w:tc>
          <w:tcPr>
            <w:tcW w:w="570" w:type="dxa"/>
            <w:shd w:val="clear" w:color="auto" w:fill="FFFFFF"/>
            <w:vAlign w:val="center"/>
          </w:tcPr>
          <w:p w14:paraId="01F32E6B" w14:textId="74F8ABFA"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-194,5</w:t>
            </w:r>
          </w:p>
        </w:tc>
        <w:tc>
          <w:tcPr>
            <w:tcW w:w="570" w:type="dxa"/>
            <w:gridSpan w:val="4"/>
            <w:shd w:val="clear" w:color="auto" w:fill="FFFFFF"/>
            <w:vAlign w:val="center"/>
          </w:tcPr>
          <w:p w14:paraId="69486ED3" w14:textId="02EA853E"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-199,5</w:t>
            </w:r>
          </w:p>
        </w:tc>
        <w:tc>
          <w:tcPr>
            <w:tcW w:w="569" w:type="dxa"/>
            <w:gridSpan w:val="3"/>
            <w:shd w:val="clear" w:color="auto" w:fill="FFFFFF"/>
            <w:vAlign w:val="center"/>
          </w:tcPr>
          <w:p w14:paraId="1AD07816" w14:textId="7A0652E4"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-204,5</w:t>
            </w:r>
          </w:p>
        </w:tc>
        <w:tc>
          <w:tcPr>
            <w:tcW w:w="570" w:type="dxa"/>
            <w:shd w:val="clear" w:color="auto" w:fill="FFFFFF"/>
            <w:vAlign w:val="center"/>
          </w:tcPr>
          <w:p w14:paraId="4A9BAFE5" w14:textId="5FA6FDF3"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-210,5</w:t>
            </w:r>
          </w:p>
        </w:tc>
        <w:tc>
          <w:tcPr>
            <w:tcW w:w="570" w:type="dxa"/>
            <w:gridSpan w:val="3"/>
            <w:shd w:val="clear" w:color="auto" w:fill="FFFFFF"/>
            <w:vAlign w:val="center"/>
          </w:tcPr>
          <w:p w14:paraId="51B7BE1B" w14:textId="24692D45"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-216,5</w:t>
            </w:r>
          </w:p>
        </w:tc>
        <w:tc>
          <w:tcPr>
            <w:tcW w:w="570" w:type="dxa"/>
            <w:shd w:val="clear" w:color="auto" w:fill="FFFFFF"/>
            <w:vAlign w:val="center"/>
          </w:tcPr>
          <w:p w14:paraId="1104EA74" w14:textId="71FA694F"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-222,5</w:t>
            </w:r>
          </w:p>
        </w:tc>
        <w:tc>
          <w:tcPr>
            <w:tcW w:w="1547" w:type="dxa"/>
            <w:gridSpan w:val="3"/>
            <w:shd w:val="clear" w:color="auto" w:fill="FFFFFF"/>
            <w:vAlign w:val="center"/>
          </w:tcPr>
          <w:p w14:paraId="04A3130D" w14:textId="2EA6F336"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-2 555,0</w:t>
            </w:r>
          </w:p>
        </w:tc>
      </w:tr>
      <w:tr w:rsidR="0063737A" w:rsidRPr="002269DF" w14:paraId="6BA35ADE" w14:textId="77777777" w:rsidTr="009F1B14">
        <w:trPr>
          <w:trHeight w:val="357"/>
        </w:trPr>
        <w:tc>
          <w:tcPr>
            <w:tcW w:w="3133" w:type="dxa"/>
            <w:gridSpan w:val="4"/>
            <w:shd w:val="clear" w:color="auto" w:fill="FFFFFF"/>
            <w:vAlign w:val="center"/>
          </w:tcPr>
          <w:p w14:paraId="506C8299" w14:textId="77777777" w:rsidR="0063737A" w:rsidRPr="002269DF" w:rsidRDefault="0063737A" w:rsidP="0063737A">
            <w:pPr>
              <w:spacing w:line="240" w:lineRule="auto"/>
              <w:rPr>
                <w:rFonts w:ascii="Times New Roman" w:hAnsi="Times New Roman"/>
              </w:rPr>
            </w:pPr>
            <w:r w:rsidRPr="002269DF">
              <w:rPr>
                <w:rFonts w:ascii="Times New Roman" w:hAnsi="Times New Roman"/>
              </w:rPr>
              <w:t>JST</w:t>
            </w:r>
          </w:p>
        </w:tc>
        <w:tc>
          <w:tcPr>
            <w:tcW w:w="569" w:type="dxa"/>
            <w:gridSpan w:val="2"/>
            <w:shd w:val="clear" w:color="auto" w:fill="FFFFFF"/>
            <w:vAlign w:val="center"/>
          </w:tcPr>
          <w:p w14:paraId="6DDB0551"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-249,0</w:t>
            </w:r>
          </w:p>
        </w:tc>
        <w:tc>
          <w:tcPr>
            <w:tcW w:w="570" w:type="dxa"/>
            <w:gridSpan w:val="2"/>
            <w:shd w:val="clear" w:color="auto" w:fill="FFFFFF"/>
            <w:vAlign w:val="center"/>
          </w:tcPr>
          <w:p w14:paraId="0667D72F"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-126,0</w:t>
            </w:r>
          </w:p>
        </w:tc>
        <w:tc>
          <w:tcPr>
            <w:tcW w:w="570" w:type="dxa"/>
            <w:gridSpan w:val="2"/>
            <w:shd w:val="clear" w:color="auto" w:fill="FFFFFF"/>
            <w:vAlign w:val="center"/>
          </w:tcPr>
          <w:p w14:paraId="58B6E922"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-84,0</w:t>
            </w:r>
          </w:p>
        </w:tc>
        <w:tc>
          <w:tcPr>
            <w:tcW w:w="569" w:type="dxa"/>
            <w:gridSpan w:val="2"/>
            <w:shd w:val="clear" w:color="auto" w:fill="FFFFFF"/>
            <w:vAlign w:val="center"/>
          </w:tcPr>
          <w:p w14:paraId="7C1AACFE"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-84,0</w:t>
            </w:r>
          </w:p>
        </w:tc>
        <w:tc>
          <w:tcPr>
            <w:tcW w:w="570" w:type="dxa"/>
            <w:gridSpan w:val="2"/>
            <w:shd w:val="clear" w:color="auto" w:fill="FFFFFF"/>
            <w:vAlign w:val="center"/>
          </w:tcPr>
          <w:p w14:paraId="266B7ED7"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-84,0</w:t>
            </w:r>
          </w:p>
        </w:tc>
        <w:tc>
          <w:tcPr>
            <w:tcW w:w="570" w:type="dxa"/>
            <w:shd w:val="clear" w:color="auto" w:fill="FFFFFF"/>
            <w:vAlign w:val="center"/>
          </w:tcPr>
          <w:p w14:paraId="04EDCD9C"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-86,0</w:t>
            </w:r>
          </w:p>
        </w:tc>
        <w:tc>
          <w:tcPr>
            <w:tcW w:w="570" w:type="dxa"/>
            <w:gridSpan w:val="4"/>
            <w:shd w:val="clear" w:color="auto" w:fill="FFFFFF"/>
            <w:vAlign w:val="center"/>
          </w:tcPr>
          <w:p w14:paraId="31F5826F"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-89,0</w:t>
            </w:r>
          </w:p>
        </w:tc>
        <w:tc>
          <w:tcPr>
            <w:tcW w:w="569" w:type="dxa"/>
            <w:gridSpan w:val="3"/>
            <w:shd w:val="clear" w:color="auto" w:fill="FFFFFF"/>
            <w:vAlign w:val="center"/>
          </w:tcPr>
          <w:p w14:paraId="3299AEF9"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-92,0</w:t>
            </w:r>
          </w:p>
        </w:tc>
        <w:tc>
          <w:tcPr>
            <w:tcW w:w="570" w:type="dxa"/>
            <w:shd w:val="clear" w:color="auto" w:fill="FFFFFF"/>
            <w:vAlign w:val="center"/>
          </w:tcPr>
          <w:p w14:paraId="4CDA4758"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-95,0</w:t>
            </w:r>
          </w:p>
        </w:tc>
        <w:tc>
          <w:tcPr>
            <w:tcW w:w="570" w:type="dxa"/>
            <w:gridSpan w:val="3"/>
            <w:shd w:val="clear" w:color="auto" w:fill="FFFFFF"/>
            <w:vAlign w:val="center"/>
          </w:tcPr>
          <w:p w14:paraId="6CEFE058"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-98,0</w:t>
            </w:r>
          </w:p>
        </w:tc>
        <w:tc>
          <w:tcPr>
            <w:tcW w:w="570" w:type="dxa"/>
            <w:shd w:val="clear" w:color="auto" w:fill="FFFFFF"/>
            <w:vAlign w:val="center"/>
          </w:tcPr>
          <w:p w14:paraId="497E86F4"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-101,0</w:t>
            </w:r>
          </w:p>
        </w:tc>
        <w:tc>
          <w:tcPr>
            <w:tcW w:w="1547" w:type="dxa"/>
            <w:gridSpan w:val="3"/>
            <w:shd w:val="clear" w:color="auto" w:fill="FFFFFF"/>
            <w:vAlign w:val="center"/>
          </w:tcPr>
          <w:p w14:paraId="160C2991"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-1 188,0</w:t>
            </w:r>
          </w:p>
        </w:tc>
      </w:tr>
      <w:tr w:rsidR="0063737A" w:rsidRPr="002269DF" w14:paraId="55668182" w14:textId="77777777" w:rsidTr="009F1B14">
        <w:trPr>
          <w:trHeight w:val="357"/>
        </w:trPr>
        <w:tc>
          <w:tcPr>
            <w:tcW w:w="3133" w:type="dxa"/>
            <w:gridSpan w:val="4"/>
            <w:shd w:val="clear" w:color="auto" w:fill="FFFFFF"/>
            <w:vAlign w:val="center"/>
          </w:tcPr>
          <w:p w14:paraId="74E1E384" w14:textId="77777777" w:rsidR="0063737A" w:rsidRPr="002269DF" w:rsidRDefault="0063737A" w:rsidP="0063737A">
            <w:pPr>
              <w:spacing w:line="240" w:lineRule="auto"/>
              <w:rPr>
                <w:rFonts w:ascii="Times New Roman" w:hAnsi="Times New Roman"/>
              </w:rPr>
            </w:pPr>
            <w:r w:rsidRPr="002269DF">
              <w:rPr>
                <w:rFonts w:ascii="Times New Roman" w:hAnsi="Times New Roman"/>
              </w:rPr>
              <w:t>pozostałe jednostki (oddzielnie)</w:t>
            </w:r>
          </w:p>
        </w:tc>
        <w:tc>
          <w:tcPr>
            <w:tcW w:w="569" w:type="dxa"/>
            <w:gridSpan w:val="2"/>
            <w:shd w:val="clear" w:color="auto" w:fill="FFFFFF"/>
            <w:vAlign w:val="center"/>
          </w:tcPr>
          <w:p w14:paraId="18E23C50"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c>
          <w:tcPr>
            <w:tcW w:w="570" w:type="dxa"/>
            <w:gridSpan w:val="2"/>
            <w:shd w:val="clear" w:color="auto" w:fill="FFFFFF"/>
            <w:vAlign w:val="center"/>
          </w:tcPr>
          <w:p w14:paraId="3A307831"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c>
          <w:tcPr>
            <w:tcW w:w="570" w:type="dxa"/>
            <w:gridSpan w:val="2"/>
            <w:shd w:val="clear" w:color="auto" w:fill="FFFFFF"/>
            <w:vAlign w:val="center"/>
          </w:tcPr>
          <w:p w14:paraId="707FD34E"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c>
          <w:tcPr>
            <w:tcW w:w="569" w:type="dxa"/>
            <w:gridSpan w:val="2"/>
            <w:shd w:val="clear" w:color="auto" w:fill="FFFFFF"/>
            <w:vAlign w:val="center"/>
          </w:tcPr>
          <w:p w14:paraId="72DA3990"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c>
          <w:tcPr>
            <w:tcW w:w="570" w:type="dxa"/>
            <w:gridSpan w:val="2"/>
            <w:shd w:val="clear" w:color="auto" w:fill="FFFFFF"/>
            <w:vAlign w:val="center"/>
          </w:tcPr>
          <w:p w14:paraId="38DF4E9C"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c>
          <w:tcPr>
            <w:tcW w:w="570" w:type="dxa"/>
            <w:shd w:val="clear" w:color="auto" w:fill="FFFFFF"/>
            <w:vAlign w:val="center"/>
          </w:tcPr>
          <w:p w14:paraId="69D795E7"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c>
          <w:tcPr>
            <w:tcW w:w="570" w:type="dxa"/>
            <w:gridSpan w:val="4"/>
            <w:shd w:val="clear" w:color="auto" w:fill="FFFFFF"/>
            <w:vAlign w:val="center"/>
          </w:tcPr>
          <w:p w14:paraId="0E9EB9F4"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c>
          <w:tcPr>
            <w:tcW w:w="569" w:type="dxa"/>
            <w:gridSpan w:val="3"/>
            <w:shd w:val="clear" w:color="auto" w:fill="FFFFFF"/>
            <w:vAlign w:val="center"/>
          </w:tcPr>
          <w:p w14:paraId="7A5082DB"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c>
          <w:tcPr>
            <w:tcW w:w="570" w:type="dxa"/>
            <w:shd w:val="clear" w:color="auto" w:fill="FFFFFF"/>
            <w:vAlign w:val="center"/>
          </w:tcPr>
          <w:p w14:paraId="7DB8F4C1"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c>
          <w:tcPr>
            <w:tcW w:w="570" w:type="dxa"/>
            <w:gridSpan w:val="3"/>
            <w:shd w:val="clear" w:color="auto" w:fill="FFFFFF"/>
            <w:vAlign w:val="center"/>
          </w:tcPr>
          <w:p w14:paraId="3B929137"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c>
          <w:tcPr>
            <w:tcW w:w="570" w:type="dxa"/>
            <w:shd w:val="clear" w:color="auto" w:fill="FFFFFF"/>
            <w:vAlign w:val="center"/>
          </w:tcPr>
          <w:p w14:paraId="00D9C3A0"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c>
          <w:tcPr>
            <w:tcW w:w="1547" w:type="dxa"/>
            <w:gridSpan w:val="3"/>
            <w:shd w:val="clear" w:color="auto" w:fill="FFFFFF"/>
            <w:vAlign w:val="center"/>
          </w:tcPr>
          <w:p w14:paraId="3D328008" w14:textId="77777777" w:rsidR="0063737A" w:rsidRPr="009F1B14" w:rsidRDefault="0063737A" w:rsidP="0063737A">
            <w:pPr>
              <w:spacing w:line="240" w:lineRule="auto"/>
              <w:rPr>
                <w:rFonts w:ascii="Times New Roman" w:eastAsia="Batang" w:hAnsi="Times New Roman"/>
              </w:rPr>
            </w:pPr>
            <w:r w:rsidRPr="009F1B14">
              <w:rPr>
                <w:rFonts w:ascii="Times New Roman" w:eastAsia="Batang" w:hAnsi="Times New Roman"/>
                <w:color w:val="000000"/>
                <w:sz w:val="20"/>
                <w:szCs w:val="20"/>
              </w:rPr>
              <w:t>0,0</w:t>
            </w:r>
          </w:p>
        </w:tc>
      </w:tr>
      <w:tr w:rsidR="00E238FE" w:rsidRPr="002269DF" w14:paraId="0DEE7E31" w14:textId="77777777" w:rsidTr="00676C8D">
        <w:trPr>
          <w:gridAfter w:val="1"/>
          <w:wAfter w:w="10" w:type="dxa"/>
          <w:trHeight w:val="348"/>
        </w:trPr>
        <w:tc>
          <w:tcPr>
            <w:tcW w:w="2243" w:type="dxa"/>
            <w:gridSpan w:val="3"/>
            <w:shd w:val="clear" w:color="auto" w:fill="FFFFFF"/>
            <w:vAlign w:val="center"/>
          </w:tcPr>
          <w:p w14:paraId="58832BEC" w14:textId="77777777" w:rsidR="00E238FE" w:rsidRPr="002269DF" w:rsidRDefault="00E238FE" w:rsidP="00D75DD2">
            <w:pPr>
              <w:spacing w:line="240" w:lineRule="auto"/>
              <w:rPr>
                <w:rFonts w:ascii="Times New Roman" w:hAnsi="Times New Roman"/>
              </w:rPr>
            </w:pPr>
            <w:r w:rsidRPr="002269DF">
              <w:rPr>
                <w:rFonts w:ascii="Times New Roman" w:hAnsi="Times New Roman"/>
              </w:rPr>
              <w:t xml:space="preserve">Źródła finansowania </w:t>
            </w:r>
          </w:p>
        </w:tc>
        <w:tc>
          <w:tcPr>
            <w:tcW w:w="8694" w:type="dxa"/>
            <w:gridSpan w:val="26"/>
            <w:shd w:val="clear" w:color="auto" w:fill="FFFFFF"/>
            <w:vAlign w:val="center"/>
          </w:tcPr>
          <w:p w14:paraId="3B38D274" w14:textId="77777777" w:rsidR="00E238FE" w:rsidRPr="002269DF" w:rsidRDefault="00E238FE" w:rsidP="00D75DD2">
            <w:pPr>
              <w:spacing w:line="240" w:lineRule="auto"/>
              <w:jc w:val="both"/>
              <w:rPr>
                <w:rFonts w:ascii="Times New Roman" w:hAnsi="Times New Roman"/>
              </w:rPr>
            </w:pPr>
          </w:p>
        </w:tc>
      </w:tr>
      <w:tr w:rsidR="00E238FE" w:rsidRPr="002269DF" w14:paraId="7500DBA4" w14:textId="77777777" w:rsidTr="00054127">
        <w:trPr>
          <w:gridAfter w:val="1"/>
          <w:wAfter w:w="10" w:type="dxa"/>
          <w:trHeight w:val="1341"/>
        </w:trPr>
        <w:tc>
          <w:tcPr>
            <w:tcW w:w="2243" w:type="dxa"/>
            <w:gridSpan w:val="3"/>
            <w:shd w:val="clear" w:color="auto" w:fill="FFFFFF"/>
          </w:tcPr>
          <w:p w14:paraId="116BCD4F" w14:textId="77777777" w:rsidR="00E238FE" w:rsidRPr="002269DF" w:rsidRDefault="00E238FE" w:rsidP="00D75DD2">
            <w:pPr>
              <w:spacing w:line="240" w:lineRule="auto"/>
              <w:rPr>
                <w:rFonts w:ascii="Times New Roman" w:hAnsi="Times New Roman"/>
              </w:rPr>
            </w:pPr>
            <w:r w:rsidRPr="002269DF">
              <w:rPr>
                <w:rFonts w:ascii="Times New Roman" w:hAnsi="Times New Roman"/>
              </w:rPr>
              <w:t>Dodatkowe informacje, w tym wskazanie źródeł danych i przyjętych do obliczeń założeń</w:t>
            </w:r>
          </w:p>
        </w:tc>
        <w:tc>
          <w:tcPr>
            <w:tcW w:w="8694" w:type="dxa"/>
            <w:gridSpan w:val="26"/>
            <w:shd w:val="clear" w:color="auto" w:fill="FFFFFF"/>
          </w:tcPr>
          <w:p w14:paraId="184B3D8D" w14:textId="21416875" w:rsidR="00C16DEF" w:rsidRPr="00901538" w:rsidRDefault="00C16DEF" w:rsidP="00C16DEF">
            <w:pPr>
              <w:autoSpaceDE w:val="0"/>
              <w:autoSpaceDN w:val="0"/>
              <w:adjustRightInd w:val="0"/>
              <w:spacing w:before="120" w:line="240" w:lineRule="auto"/>
              <w:jc w:val="both"/>
              <w:rPr>
                <w:rFonts w:ascii="Times New Roman" w:hAnsi="Times New Roman"/>
                <w:bCs/>
              </w:rPr>
            </w:pPr>
            <w:r w:rsidRPr="00901538">
              <w:rPr>
                <w:rFonts w:ascii="Times New Roman" w:hAnsi="Times New Roman"/>
                <w:bCs/>
              </w:rPr>
              <w:t xml:space="preserve">Powyższa tabela przedstawia </w:t>
            </w:r>
            <w:r>
              <w:rPr>
                <w:rFonts w:ascii="Times New Roman" w:hAnsi="Times New Roman"/>
                <w:bCs/>
              </w:rPr>
              <w:t xml:space="preserve">skutki w ujęciach rocznych. Dla zobrazowania skumulowanego efektu wszystkich zmian w ujęciu 10-letnim, dla obliczeń przyjęto jednolitą datę wejścia w życie (przy czym część zmian podatkowych faktycznie weszłaby w życie w okresie późniejszym, tj. 1 stycznia 2019 r.).   </w:t>
            </w:r>
          </w:p>
          <w:p w14:paraId="6FB00951" w14:textId="77777777" w:rsidR="00E238FE" w:rsidRPr="002269DF" w:rsidRDefault="00E238FE" w:rsidP="00024D8C">
            <w:pPr>
              <w:autoSpaceDE w:val="0"/>
              <w:autoSpaceDN w:val="0"/>
              <w:adjustRightInd w:val="0"/>
              <w:spacing w:before="120" w:line="240" w:lineRule="auto"/>
              <w:jc w:val="both"/>
              <w:rPr>
                <w:rFonts w:ascii="Times New Roman" w:hAnsi="Times New Roman"/>
                <w:b/>
                <w:bCs/>
              </w:rPr>
            </w:pPr>
            <w:r w:rsidRPr="002269DF">
              <w:rPr>
                <w:rFonts w:ascii="Times New Roman" w:hAnsi="Times New Roman"/>
                <w:b/>
                <w:bCs/>
              </w:rPr>
              <w:t>- w zakresie podatku dochodowego</w:t>
            </w:r>
          </w:p>
          <w:p w14:paraId="4F625C6A" w14:textId="77777777" w:rsidR="00E238FE" w:rsidRPr="002269DF" w:rsidRDefault="00E238FE" w:rsidP="00024D8C">
            <w:p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 xml:space="preserve">W zakresie dotyczącym likwidacji obowiązków informacyjnych i dokumentacyjnych zmiany nie wpływają na sektor finansów publicznych, gdyż nie dotyczą aspektów wpływających bezpośrednio na rozliczenia podatkowe. </w:t>
            </w:r>
          </w:p>
          <w:p w14:paraId="0B802F3E" w14:textId="4346A164" w:rsidR="00E238FE" w:rsidRPr="002269DF" w:rsidRDefault="00E238FE" w:rsidP="00A67901">
            <w:p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 xml:space="preserve">Zawarte w projekcie zmiany dotyczące odliczenia tzw. „złych długów” przez wierzyciela </w:t>
            </w:r>
            <w:r w:rsidR="009060D1">
              <w:rPr>
                <w:rFonts w:ascii="Times New Roman" w:hAnsi="Times New Roman"/>
                <w:bCs/>
              </w:rPr>
              <w:t>–</w:t>
            </w:r>
            <w:r w:rsidRPr="002269DF">
              <w:rPr>
                <w:rFonts w:ascii="Times New Roman" w:hAnsi="Times New Roman"/>
                <w:bCs/>
              </w:rPr>
              <w:t xml:space="preserve"> dla</w:t>
            </w:r>
            <w:r w:rsidR="009060D1">
              <w:rPr>
                <w:rFonts w:ascii="Times New Roman" w:hAnsi="Times New Roman"/>
                <w:bCs/>
              </w:rPr>
              <w:t> </w:t>
            </w:r>
            <w:r w:rsidRPr="002269DF">
              <w:rPr>
                <w:rFonts w:ascii="Times New Roman" w:hAnsi="Times New Roman"/>
                <w:bCs/>
              </w:rPr>
              <w:t>zachowania neutralności budżetowej - powiązane są z obowiązkiem doliczenia niezapłaconych zobowiązań po stronie dłużnika, co również zapewnia ich neutralność dla</w:t>
            </w:r>
            <w:r w:rsidR="009060D1">
              <w:rPr>
                <w:rFonts w:ascii="Times New Roman" w:hAnsi="Times New Roman"/>
                <w:bCs/>
              </w:rPr>
              <w:t> </w:t>
            </w:r>
            <w:r w:rsidRPr="002269DF">
              <w:rPr>
                <w:rFonts w:ascii="Times New Roman" w:hAnsi="Times New Roman"/>
                <w:bCs/>
              </w:rPr>
              <w:t xml:space="preserve">sektora finansów publicznych. </w:t>
            </w:r>
          </w:p>
          <w:p w14:paraId="4FA1241B" w14:textId="5391113F" w:rsidR="00E238FE" w:rsidRDefault="00ED2C24" w:rsidP="00ED2C24">
            <w:pPr>
              <w:autoSpaceDE w:val="0"/>
              <w:autoSpaceDN w:val="0"/>
              <w:adjustRightInd w:val="0"/>
              <w:spacing w:before="120" w:line="240" w:lineRule="auto"/>
              <w:jc w:val="both"/>
              <w:rPr>
                <w:rFonts w:ascii="Times New Roman" w:hAnsi="Times New Roman"/>
                <w:bCs/>
              </w:rPr>
            </w:pPr>
            <w:r w:rsidRPr="002269DF">
              <w:rPr>
                <w:rFonts w:ascii="Times New Roman" w:hAnsi="Times New Roman"/>
              </w:rPr>
              <w:t>Zmiana zasad rozliczania strat, tj. likwidacji limitu 50% dla strat nieprzekraczających 5 mln zł, wpłynęłaby na zmniejszenie dochodów sektora finansów publicznych o około 158 mln zł, przy</w:t>
            </w:r>
            <w:r w:rsidR="009060D1">
              <w:rPr>
                <w:rFonts w:ascii="Times New Roman" w:hAnsi="Times New Roman"/>
              </w:rPr>
              <w:t> </w:t>
            </w:r>
            <w:r w:rsidRPr="002269DF">
              <w:rPr>
                <w:rFonts w:ascii="Times New Roman" w:hAnsi="Times New Roman"/>
              </w:rPr>
              <w:t xml:space="preserve">czym skutek ten wystąpiłby tylko w jednym roku podatkowym (w przypadku gdy </w:t>
            </w:r>
            <w:r w:rsidR="000308AA">
              <w:rPr>
                <w:rFonts w:ascii="Times New Roman" w:hAnsi="Times New Roman"/>
              </w:rPr>
              <w:t xml:space="preserve">zmiana w tym zakresie </w:t>
            </w:r>
            <w:r w:rsidRPr="002269DF">
              <w:rPr>
                <w:rFonts w:ascii="Times New Roman" w:hAnsi="Times New Roman"/>
              </w:rPr>
              <w:t xml:space="preserve"> weszłaby w życie w 201</w:t>
            </w:r>
            <w:r w:rsidR="000308AA">
              <w:rPr>
                <w:rFonts w:ascii="Times New Roman" w:hAnsi="Times New Roman"/>
              </w:rPr>
              <w:t>9</w:t>
            </w:r>
            <w:r w:rsidRPr="002269DF">
              <w:rPr>
                <w:rFonts w:ascii="Times New Roman" w:hAnsi="Times New Roman"/>
              </w:rPr>
              <w:t xml:space="preserve"> r. wówczas skutek byłby w 20</w:t>
            </w:r>
            <w:r w:rsidR="000308AA">
              <w:rPr>
                <w:rFonts w:ascii="Times New Roman" w:hAnsi="Times New Roman"/>
              </w:rPr>
              <w:t>20</w:t>
            </w:r>
            <w:r w:rsidRPr="002269DF">
              <w:rPr>
                <w:rFonts w:ascii="Times New Roman" w:hAnsi="Times New Roman"/>
              </w:rPr>
              <w:t xml:space="preserve"> r. – rozliczenie strat z 201</w:t>
            </w:r>
            <w:r w:rsidR="000308AA">
              <w:rPr>
                <w:rFonts w:ascii="Times New Roman" w:hAnsi="Times New Roman"/>
              </w:rPr>
              <w:t>9</w:t>
            </w:r>
            <w:r w:rsidRPr="002269DF">
              <w:rPr>
                <w:rFonts w:ascii="Times New Roman" w:hAnsi="Times New Roman"/>
              </w:rPr>
              <w:t xml:space="preserve"> r. w zeznaniu za 20</w:t>
            </w:r>
            <w:r w:rsidR="000308AA">
              <w:rPr>
                <w:rFonts w:ascii="Times New Roman" w:hAnsi="Times New Roman"/>
              </w:rPr>
              <w:t>20</w:t>
            </w:r>
            <w:r w:rsidRPr="002269DF">
              <w:rPr>
                <w:rFonts w:ascii="Times New Roman" w:hAnsi="Times New Roman"/>
              </w:rPr>
              <w:t xml:space="preserve"> r.). </w:t>
            </w:r>
            <w:r w:rsidR="00DC435B">
              <w:rPr>
                <w:rFonts w:ascii="Times New Roman" w:hAnsi="Times New Roman"/>
              </w:rPr>
              <w:t xml:space="preserve">Wpływ polega zatem na przesunięciu </w:t>
            </w:r>
            <w:r w:rsidR="00124CB8">
              <w:rPr>
                <w:rFonts w:ascii="Times New Roman" w:hAnsi="Times New Roman"/>
              </w:rPr>
              <w:t xml:space="preserve">pewnych dochodów </w:t>
            </w:r>
            <w:r w:rsidR="00DC435B">
              <w:rPr>
                <w:rFonts w:ascii="Times New Roman" w:hAnsi="Times New Roman"/>
              </w:rPr>
              <w:t>budżetowych w czasie</w:t>
            </w:r>
            <w:r w:rsidR="00124CB8">
              <w:rPr>
                <w:rFonts w:ascii="Times New Roman" w:hAnsi="Times New Roman"/>
              </w:rPr>
              <w:t>, a nie na trwałym ubytku dochodów</w:t>
            </w:r>
            <w:r w:rsidR="005A2F1E">
              <w:rPr>
                <w:rFonts w:ascii="Times New Roman" w:hAnsi="Times New Roman"/>
              </w:rPr>
              <w:t xml:space="preserve"> sektora finansów publicznych</w:t>
            </w:r>
            <w:r w:rsidR="00124CB8">
              <w:rPr>
                <w:rFonts w:ascii="Times New Roman" w:hAnsi="Times New Roman"/>
              </w:rPr>
              <w:t xml:space="preserve">. </w:t>
            </w:r>
            <w:r w:rsidRPr="002269DF">
              <w:rPr>
                <w:rFonts w:ascii="Times New Roman" w:hAnsi="Times New Roman"/>
              </w:rPr>
              <w:t>W</w:t>
            </w:r>
            <w:r w:rsidR="009060D1">
              <w:rPr>
                <w:rFonts w:ascii="Times New Roman" w:hAnsi="Times New Roman"/>
              </w:rPr>
              <w:t> </w:t>
            </w:r>
            <w:r w:rsidRPr="002269DF">
              <w:rPr>
                <w:rFonts w:ascii="Times New Roman" w:hAnsi="Times New Roman"/>
              </w:rPr>
              <w:t xml:space="preserve">kolejnych latach wpływ regulacji na sektor finansów publicznych byłby neutralny. </w:t>
            </w:r>
            <w:r w:rsidR="000308AA">
              <w:rPr>
                <w:rFonts w:ascii="Times New Roman" w:hAnsi="Times New Roman"/>
              </w:rPr>
              <w:t xml:space="preserve">Z kolei, </w:t>
            </w:r>
            <w:r w:rsidR="000308AA">
              <w:rPr>
                <w:rFonts w:ascii="Times New Roman" w:hAnsi="Times New Roman"/>
                <w:bCs/>
              </w:rPr>
              <w:t>p</w:t>
            </w:r>
            <w:r w:rsidRPr="002269DF">
              <w:rPr>
                <w:rFonts w:ascii="Times New Roman" w:hAnsi="Times New Roman"/>
                <w:bCs/>
              </w:rPr>
              <w:t>ropozycja dotycząca zwolnienia od podatku dochodowego od osób fizycznych oraz podatku dochodowego od osób prawnych przychodów uzyskanych od ubezpieczyciela z tytułu odszkodowania za szkodę w środku trwałym, z wyłączeniem samochodu osobowego, wpłynęłaby na zmniejszenie dochodów sektora finansów publicznych w pierwszym roku obowiązywania ustawy o około 18 mln zł, w tym budżetu państwa o około 14 mln zł, a</w:t>
            </w:r>
            <w:r w:rsidR="009060D1">
              <w:rPr>
                <w:rFonts w:ascii="Times New Roman" w:hAnsi="Times New Roman"/>
                <w:bCs/>
              </w:rPr>
              <w:t> </w:t>
            </w:r>
            <w:r w:rsidRPr="002269DF">
              <w:rPr>
                <w:rFonts w:ascii="Times New Roman" w:hAnsi="Times New Roman"/>
                <w:bCs/>
              </w:rPr>
              <w:t>jednostek samorządu terytorialnego o około 4 mln zł. W kolejnych latach skutki te powinny być niższe w związku z treścią projektowanego przepisu, zgodnie z którym kosztami podatkowymi nie będą odpisy amortyzacyjne w wysokości odpowiadającej wartości odszkodowania. Powyższe skutki oszacowano na podstawie danych GUS o wartości środków trwałych w gospodarce narodowej. Zgodnie z powyższymi danymi wartość maszyn, urządzeń technicznych i narzędzi wyniosła na dzień 31 grudnia 2015 r. 937,6 mld zł. Założono, że</w:t>
            </w:r>
            <w:r w:rsidR="009060D1">
              <w:rPr>
                <w:rFonts w:ascii="Times New Roman" w:hAnsi="Times New Roman"/>
                <w:bCs/>
              </w:rPr>
              <w:t> </w:t>
            </w:r>
            <w:r w:rsidRPr="002269DF">
              <w:rPr>
                <w:rFonts w:ascii="Times New Roman" w:hAnsi="Times New Roman"/>
                <w:bCs/>
              </w:rPr>
              <w:t>przedmiotową propozycją zostanie objętych ok. 0,01% wartości tych środków.</w:t>
            </w:r>
          </w:p>
          <w:p w14:paraId="73F2FDB1" w14:textId="108DE608" w:rsidR="0067416A" w:rsidRDefault="00ED2C24" w:rsidP="00263F5C">
            <w:pPr>
              <w:spacing w:before="120" w:line="240" w:lineRule="auto"/>
              <w:jc w:val="both"/>
              <w:rPr>
                <w:rFonts w:ascii="Times New Roman" w:hAnsi="Times New Roman"/>
                <w:bCs/>
                <w:color w:val="000000" w:themeColor="text1"/>
              </w:rPr>
            </w:pPr>
            <w:r w:rsidRPr="002269DF">
              <w:rPr>
                <w:rFonts w:ascii="Times New Roman" w:hAnsi="Times New Roman"/>
                <w:bCs/>
              </w:rPr>
              <w:t>Propozycja uznania, przez podatników podatku dochodowego od osób fizycznych,</w:t>
            </w:r>
            <w:r w:rsidR="0030746E">
              <w:rPr>
                <w:rFonts w:ascii="Times New Roman" w:hAnsi="Times New Roman"/>
                <w:bCs/>
              </w:rPr>
              <w:t xml:space="preserve"> za koszty uzyskania przychodów wartości</w:t>
            </w:r>
            <w:r w:rsidRPr="002269DF">
              <w:rPr>
                <w:rFonts w:ascii="Times New Roman" w:hAnsi="Times New Roman"/>
                <w:bCs/>
              </w:rPr>
              <w:t xml:space="preserve"> pracy małżonka, wpłynęłaby na zmniejszenie dochodów sektora finansów publicznych w pierwszym ro</w:t>
            </w:r>
            <w:r w:rsidR="002F0D68">
              <w:rPr>
                <w:rFonts w:ascii="Times New Roman" w:hAnsi="Times New Roman"/>
                <w:bCs/>
              </w:rPr>
              <w:t xml:space="preserve">ku obowiązywania ustawy o </w:t>
            </w:r>
            <w:r w:rsidR="002F0D68" w:rsidRPr="00F676D2">
              <w:rPr>
                <w:rFonts w:ascii="Times New Roman" w:hAnsi="Times New Roman"/>
                <w:bCs/>
              </w:rPr>
              <w:t>około</w:t>
            </w:r>
            <w:r w:rsidRPr="00F676D2">
              <w:rPr>
                <w:rFonts w:ascii="Times New Roman" w:hAnsi="Times New Roman"/>
                <w:bCs/>
              </w:rPr>
              <w:t xml:space="preserve"> </w:t>
            </w:r>
            <w:r w:rsidR="00B02B05">
              <w:rPr>
                <w:rFonts w:ascii="Times New Roman" w:hAnsi="Times New Roman"/>
                <w:bCs/>
              </w:rPr>
              <w:t>334</w:t>
            </w:r>
            <w:r w:rsidRPr="00F676D2">
              <w:rPr>
                <w:rFonts w:ascii="Times New Roman" w:hAnsi="Times New Roman"/>
                <w:bCs/>
              </w:rPr>
              <w:t xml:space="preserve"> mln zł, w</w:t>
            </w:r>
            <w:r w:rsidR="009060D1">
              <w:rPr>
                <w:rFonts w:ascii="Times New Roman" w:hAnsi="Times New Roman"/>
                <w:bCs/>
              </w:rPr>
              <w:t> </w:t>
            </w:r>
            <w:r w:rsidRPr="00F676D2">
              <w:rPr>
                <w:rFonts w:ascii="Times New Roman" w:hAnsi="Times New Roman"/>
                <w:bCs/>
              </w:rPr>
              <w:t>tym budże</w:t>
            </w:r>
            <w:r w:rsidR="0030746E">
              <w:rPr>
                <w:rFonts w:ascii="Times New Roman" w:hAnsi="Times New Roman"/>
                <w:bCs/>
              </w:rPr>
              <w:t xml:space="preserve">tu państwa o około </w:t>
            </w:r>
            <w:r w:rsidR="00B02B05">
              <w:rPr>
                <w:rFonts w:ascii="Times New Roman" w:hAnsi="Times New Roman"/>
                <w:bCs/>
              </w:rPr>
              <w:t>168</w:t>
            </w:r>
            <w:r w:rsidR="0030746E">
              <w:rPr>
                <w:rFonts w:ascii="Times New Roman" w:hAnsi="Times New Roman"/>
                <w:bCs/>
              </w:rPr>
              <w:t xml:space="preserve"> mln zł, a </w:t>
            </w:r>
            <w:r w:rsidRPr="00F676D2">
              <w:rPr>
                <w:rFonts w:ascii="Times New Roman" w:hAnsi="Times New Roman"/>
                <w:bCs/>
              </w:rPr>
              <w:t xml:space="preserve">jednostek samorządu terytorialnego o około </w:t>
            </w:r>
            <w:r w:rsidR="00B02B05">
              <w:rPr>
                <w:rFonts w:ascii="Times New Roman" w:hAnsi="Times New Roman"/>
                <w:bCs/>
              </w:rPr>
              <w:t>166</w:t>
            </w:r>
            <w:r w:rsidR="00B02B05" w:rsidRPr="00F676D2">
              <w:rPr>
                <w:rFonts w:ascii="Times New Roman" w:hAnsi="Times New Roman"/>
                <w:bCs/>
              </w:rPr>
              <w:t xml:space="preserve"> </w:t>
            </w:r>
            <w:r w:rsidRPr="00F676D2">
              <w:rPr>
                <w:rFonts w:ascii="Times New Roman" w:hAnsi="Times New Roman"/>
                <w:bCs/>
              </w:rPr>
              <w:t xml:space="preserve">mln zł. Powyższe skutki oszacowano przy założeniu, że około 1% podatników prowadzących działalność gospodarczą na ogólnych zasadach tj. ok. 17 tys. podatników uwzględni w kosztach uzyskania przychodów poniesione koszty związane z wynagrodzeniem w wysokości </w:t>
            </w:r>
            <w:r w:rsidR="00B02B05">
              <w:rPr>
                <w:rFonts w:ascii="Times New Roman" w:hAnsi="Times New Roman"/>
                <w:bCs/>
              </w:rPr>
              <w:t>101 296,56</w:t>
            </w:r>
            <w:r w:rsidRPr="00F676D2">
              <w:rPr>
                <w:rFonts w:ascii="Times New Roman" w:hAnsi="Times New Roman"/>
                <w:bCs/>
              </w:rPr>
              <w:t xml:space="preserve"> zł, tj. </w:t>
            </w:r>
            <w:r w:rsidR="00B02B05">
              <w:rPr>
                <w:rFonts w:ascii="Times New Roman" w:hAnsi="Times New Roman"/>
                <w:bCs/>
              </w:rPr>
              <w:t xml:space="preserve">w podwójnej wysokości </w:t>
            </w:r>
            <w:r w:rsidRPr="00F676D2">
              <w:rPr>
                <w:rFonts w:ascii="Times New Roman" w:hAnsi="Times New Roman"/>
                <w:bCs/>
              </w:rPr>
              <w:t xml:space="preserve">dwunastokrotności przeciętnego wynagrodzenia w II kwartale 2017 r. </w:t>
            </w:r>
            <w:r w:rsidR="000308AA" w:rsidRPr="000308AA">
              <w:rPr>
                <w:rFonts w:ascii="Times New Roman" w:hAnsi="Times New Roman"/>
                <w:bCs/>
                <w:color w:val="000000" w:themeColor="text1"/>
              </w:rPr>
              <w:t xml:space="preserve">Jednocześnie </w:t>
            </w:r>
            <w:r w:rsidR="00195814">
              <w:rPr>
                <w:rFonts w:ascii="Times New Roman" w:hAnsi="Times New Roman"/>
                <w:bCs/>
                <w:color w:val="000000" w:themeColor="text1"/>
              </w:rPr>
              <w:t>szacuje się</w:t>
            </w:r>
            <w:r w:rsidR="000308AA" w:rsidRPr="000308AA">
              <w:rPr>
                <w:rFonts w:ascii="Times New Roman" w:hAnsi="Times New Roman"/>
                <w:bCs/>
                <w:color w:val="000000" w:themeColor="text1"/>
              </w:rPr>
              <w:t xml:space="preserve">, że z tytułu podatku dochodowego od osób fizycznych rocznie osiągnięto by </w:t>
            </w:r>
            <w:r w:rsidR="00B02B05">
              <w:rPr>
                <w:rFonts w:ascii="Times New Roman" w:hAnsi="Times New Roman"/>
                <w:bCs/>
                <w:color w:val="000000" w:themeColor="text1"/>
              </w:rPr>
              <w:t>wpływy na poziomie ok. 266</w:t>
            </w:r>
            <w:r w:rsidR="000308AA" w:rsidRPr="000308AA">
              <w:rPr>
                <w:rFonts w:ascii="Times New Roman" w:hAnsi="Times New Roman"/>
                <w:bCs/>
                <w:color w:val="000000" w:themeColor="text1"/>
              </w:rPr>
              <w:t xml:space="preserve"> mln zł. Oznacza to, że wpływ z</w:t>
            </w:r>
            <w:r w:rsidR="009060D1">
              <w:rPr>
                <w:rFonts w:ascii="Times New Roman" w:hAnsi="Times New Roman"/>
                <w:bCs/>
                <w:color w:val="000000" w:themeColor="text1"/>
              </w:rPr>
              <w:t> </w:t>
            </w:r>
            <w:r w:rsidR="000308AA" w:rsidRPr="000308AA">
              <w:rPr>
                <w:rFonts w:ascii="Times New Roman" w:hAnsi="Times New Roman"/>
                <w:bCs/>
                <w:color w:val="000000" w:themeColor="text1"/>
              </w:rPr>
              <w:t xml:space="preserve">podatku dochodowego od osób fizycznych w dużej mierze </w:t>
            </w:r>
            <w:r w:rsidR="002F6A09">
              <w:rPr>
                <w:rFonts w:ascii="Times New Roman" w:hAnsi="Times New Roman"/>
                <w:bCs/>
                <w:color w:val="000000" w:themeColor="text1"/>
              </w:rPr>
              <w:t xml:space="preserve">mógłby </w:t>
            </w:r>
            <w:r w:rsidR="000308AA" w:rsidRPr="000308AA">
              <w:rPr>
                <w:rFonts w:ascii="Times New Roman" w:hAnsi="Times New Roman"/>
                <w:bCs/>
                <w:color w:val="000000" w:themeColor="text1"/>
              </w:rPr>
              <w:t>zrównoważy</w:t>
            </w:r>
            <w:r w:rsidR="002F6A09">
              <w:rPr>
                <w:rFonts w:ascii="Times New Roman" w:hAnsi="Times New Roman"/>
                <w:bCs/>
                <w:color w:val="000000" w:themeColor="text1"/>
              </w:rPr>
              <w:t>ć</w:t>
            </w:r>
            <w:r w:rsidR="000308AA" w:rsidRPr="000308AA">
              <w:rPr>
                <w:rFonts w:ascii="Times New Roman" w:hAnsi="Times New Roman"/>
                <w:bCs/>
                <w:color w:val="000000" w:themeColor="text1"/>
              </w:rPr>
              <w:t xml:space="preserve"> ubytek dochodów sektora finansów publicznych</w:t>
            </w:r>
            <w:r w:rsidR="00195814">
              <w:rPr>
                <w:rFonts w:ascii="Times New Roman" w:hAnsi="Times New Roman"/>
                <w:bCs/>
                <w:color w:val="000000" w:themeColor="text1"/>
              </w:rPr>
              <w:t xml:space="preserve"> w tym zakresie</w:t>
            </w:r>
            <w:r w:rsidR="000308AA" w:rsidRPr="000308AA">
              <w:rPr>
                <w:rFonts w:ascii="Times New Roman" w:hAnsi="Times New Roman"/>
                <w:bCs/>
                <w:color w:val="000000" w:themeColor="text1"/>
              </w:rPr>
              <w:t>.</w:t>
            </w:r>
          </w:p>
          <w:p w14:paraId="4BFB5FFE" w14:textId="5EDC3EBC" w:rsidR="002F6A09" w:rsidRPr="002269DF" w:rsidRDefault="002F6A09" w:rsidP="00124CB8">
            <w:pPr>
              <w:spacing w:line="240" w:lineRule="auto"/>
              <w:jc w:val="both"/>
              <w:rPr>
                <w:rFonts w:ascii="Times New Roman" w:hAnsi="Times New Roman"/>
              </w:rPr>
            </w:pPr>
            <w:r w:rsidRPr="002269DF">
              <w:rPr>
                <w:rFonts w:ascii="Times New Roman" w:hAnsi="Times New Roman"/>
              </w:rPr>
              <w:lastRenderedPageBreak/>
              <w:t>Propozycja podwyższenia z 1,2 mln euro do 2 mln euro limitu określonego dla „małego podatnika” w zakresie podatku dochodowego od osób fizycznych (PIT) i podatku dochodowego od osób prawnych (CIT) wpłynęłaby na powiększenie grupy podatników uprawnionych do</w:t>
            </w:r>
            <w:r w:rsidR="009060D1">
              <w:rPr>
                <w:rFonts w:ascii="Times New Roman" w:hAnsi="Times New Roman"/>
              </w:rPr>
              <w:t> </w:t>
            </w:r>
            <w:r w:rsidRPr="002269DF">
              <w:rPr>
                <w:rFonts w:ascii="Times New Roman" w:hAnsi="Times New Roman"/>
              </w:rPr>
              <w:t xml:space="preserve">jednorazowej amortyzacji, kwartalnego sposobu rozliczania zaliczek, zastosowania 15% stawki podatku CIT. Szacuje się, że powyższe rozwiązanie </w:t>
            </w:r>
            <w:r>
              <w:rPr>
                <w:rFonts w:ascii="Times New Roman" w:hAnsi="Times New Roman"/>
              </w:rPr>
              <w:t xml:space="preserve">mogłoby </w:t>
            </w:r>
            <w:r w:rsidRPr="002269DF">
              <w:rPr>
                <w:rFonts w:ascii="Times New Roman" w:hAnsi="Times New Roman"/>
              </w:rPr>
              <w:t>wpłyn</w:t>
            </w:r>
            <w:r>
              <w:rPr>
                <w:rFonts w:ascii="Times New Roman" w:hAnsi="Times New Roman"/>
              </w:rPr>
              <w:t>ąć</w:t>
            </w:r>
            <w:r w:rsidRPr="002269DF">
              <w:rPr>
                <w:rFonts w:ascii="Times New Roman" w:hAnsi="Times New Roman"/>
              </w:rPr>
              <w:t xml:space="preserve"> na zmniejszenie dochodów sektora finansów publicznych w pierwszym roku obowiązywania ustawy o około  582 mln zł w tym z tytułu: </w:t>
            </w:r>
          </w:p>
          <w:p w14:paraId="059E744F" w14:textId="77777777" w:rsidR="002F6A09" w:rsidRPr="002269DF" w:rsidRDefault="002F6A09" w:rsidP="00124CB8">
            <w:pPr>
              <w:numPr>
                <w:ilvl w:val="2"/>
                <w:numId w:val="35"/>
              </w:numPr>
              <w:spacing w:line="240" w:lineRule="auto"/>
              <w:ind w:left="1052" w:hanging="284"/>
              <w:jc w:val="both"/>
              <w:rPr>
                <w:rFonts w:ascii="Times New Roman" w:hAnsi="Times New Roman"/>
              </w:rPr>
            </w:pPr>
            <w:r w:rsidRPr="002269DF">
              <w:rPr>
                <w:rFonts w:ascii="Times New Roman" w:hAnsi="Times New Roman"/>
              </w:rPr>
              <w:t xml:space="preserve">jednorazowej amortyzacji – o około 45 mln zł, </w:t>
            </w:r>
          </w:p>
          <w:p w14:paraId="2AE0B6CB" w14:textId="77777777" w:rsidR="002F6A09" w:rsidRPr="002269DF" w:rsidRDefault="002F6A09" w:rsidP="00124CB8">
            <w:pPr>
              <w:numPr>
                <w:ilvl w:val="2"/>
                <w:numId w:val="35"/>
              </w:numPr>
              <w:spacing w:line="240" w:lineRule="auto"/>
              <w:ind w:left="1052" w:hanging="284"/>
              <w:jc w:val="both"/>
              <w:rPr>
                <w:rFonts w:ascii="Times New Roman" w:hAnsi="Times New Roman"/>
              </w:rPr>
            </w:pPr>
            <w:r w:rsidRPr="002269DF">
              <w:rPr>
                <w:rFonts w:ascii="Times New Roman" w:hAnsi="Times New Roman"/>
              </w:rPr>
              <w:t xml:space="preserve">kwartalnego sposobu rozliczania zaliczek – o około 382 mln zł, </w:t>
            </w:r>
          </w:p>
          <w:p w14:paraId="09D15727" w14:textId="77777777" w:rsidR="002F6A09" w:rsidRPr="002269DF" w:rsidRDefault="002F6A09" w:rsidP="00124CB8">
            <w:pPr>
              <w:numPr>
                <w:ilvl w:val="2"/>
                <w:numId w:val="35"/>
              </w:numPr>
              <w:spacing w:line="240" w:lineRule="auto"/>
              <w:ind w:left="1052" w:hanging="284"/>
              <w:jc w:val="both"/>
              <w:rPr>
                <w:rFonts w:ascii="Times New Roman" w:hAnsi="Times New Roman"/>
              </w:rPr>
            </w:pPr>
            <w:r w:rsidRPr="002269DF">
              <w:rPr>
                <w:rFonts w:ascii="Times New Roman" w:hAnsi="Times New Roman"/>
              </w:rPr>
              <w:t xml:space="preserve">zastosowania 15% stawki podatku CIT – o około 155 mln zł. </w:t>
            </w:r>
          </w:p>
          <w:p w14:paraId="3F0918A2" w14:textId="666D6DF0" w:rsidR="002F6A09" w:rsidRPr="002269DF" w:rsidRDefault="002F6A09" w:rsidP="00124CB8">
            <w:pPr>
              <w:spacing w:line="240" w:lineRule="auto"/>
              <w:jc w:val="both"/>
              <w:rPr>
                <w:rFonts w:ascii="Times New Roman" w:hAnsi="Times New Roman"/>
              </w:rPr>
            </w:pPr>
            <w:r w:rsidRPr="002269DF">
              <w:rPr>
                <w:rFonts w:ascii="Times New Roman" w:hAnsi="Times New Roman"/>
              </w:rPr>
              <w:t>Przy czym skutki dotyczące możliwości kwartalnego sposobu opłacania zaliczek wystąpią tylko w pierwszym roku funkcjonowania rozwiązania. W kolejnych latach wpływ regulacji na sektor finansów publicznych będzie neutralny – ubytki z tytułu nieopłaconych zaliczek w danym roku wyrównają się z wpływami za rok poprzedni.</w:t>
            </w:r>
            <w:r>
              <w:rPr>
                <w:rFonts w:ascii="Times New Roman" w:hAnsi="Times New Roman"/>
              </w:rPr>
              <w:t xml:space="preserve"> </w:t>
            </w:r>
            <w:r w:rsidR="00124CB8">
              <w:rPr>
                <w:rFonts w:ascii="Times New Roman" w:hAnsi="Times New Roman"/>
              </w:rPr>
              <w:t>N</w:t>
            </w:r>
            <w:r>
              <w:rPr>
                <w:rFonts w:ascii="Times New Roman" w:hAnsi="Times New Roman"/>
              </w:rPr>
              <w:t xml:space="preserve">ależy mieć na uwadze, że w zakresie propozycji dot. jednorazowej amortyzacji oraz kwartalnego sposobu rozliczania zaliczek </w:t>
            </w:r>
            <w:r w:rsidR="00124CB8">
              <w:rPr>
                <w:rFonts w:ascii="Times New Roman" w:hAnsi="Times New Roman"/>
              </w:rPr>
              <w:t>wpływ na</w:t>
            </w:r>
            <w:r w:rsidR="009060D1">
              <w:rPr>
                <w:rFonts w:ascii="Times New Roman" w:hAnsi="Times New Roman"/>
              </w:rPr>
              <w:t> </w:t>
            </w:r>
            <w:r w:rsidR="00124CB8">
              <w:rPr>
                <w:rFonts w:ascii="Times New Roman" w:hAnsi="Times New Roman"/>
              </w:rPr>
              <w:t>dochody sektora finansów publicznych polega na przesunięciu w czasie dochodów</w:t>
            </w:r>
            <w:r w:rsidR="00195814">
              <w:rPr>
                <w:rFonts w:ascii="Times New Roman" w:hAnsi="Times New Roman"/>
              </w:rPr>
              <w:t xml:space="preserve"> podatkowych</w:t>
            </w:r>
            <w:r w:rsidR="00124CB8">
              <w:rPr>
                <w:rFonts w:ascii="Times New Roman" w:hAnsi="Times New Roman"/>
              </w:rPr>
              <w:t xml:space="preserve">, a nie ich trwałym ubytku. </w:t>
            </w:r>
          </w:p>
          <w:p w14:paraId="5B02D1CC" w14:textId="77777777" w:rsidR="002F6A09" w:rsidRPr="00F676D2" w:rsidRDefault="005A2F1E" w:rsidP="00263F5C">
            <w:pPr>
              <w:spacing w:before="120" w:line="240" w:lineRule="auto"/>
              <w:jc w:val="both"/>
              <w:rPr>
                <w:rFonts w:ascii="Times New Roman" w:hAnsi="Times New Roman"/>
                <w:bCs/>
              </w:rPr>
            </w:pPr>
            <w:r>
              <w:rPr>
                <w:rFonts w:ascii="Times New Roman" w:hAnsi="Times New Roman"/>
                <w:bCs/>
              </w:rPr>
              <w:t xml:space="preserve">Ze względów ostrożnościowych nie uwzględniono </w:t>
            </w:r>
            <w:r w:rsidR="00195814">
              <w:rPr>
                <w:rFonts w:ascii="Times New Roman" w:hAnsi="Times New Roman"/>
                <w:bCs/>
              </w:rPr>
              <w:t>w szacunkach potencjalnych pozytywnych efektów dla sektora finansów publicznych wynikających z możliwej zwiększonej aktywności gospodarczej będącej wynikiem poprawy otoczenia podatkowego przedsiębiorców.</w:t>
            </w:r>
          </w:p>
          <w:p w14:paraId="64CC4EE7" w14:textId="77777777" w:rsidR="00E238FE" w:rsidRPr="002269DF" w:rsidRDefault="00E238FE" w:rsidP="00024D8C">
            <w:pPr>
              <w:autoSpaceDE w:val="0"/>
              <w:autoSpaceDN w:val="0"/>
              <w:adjustRightInd w:val="0"/>
              <w:spacing w:before="120" w:line="240" w:lineRule="auto"/>
              <w:jc w:val="both"/>
              <w:rPr>
                <w:rFonts w:ascii="Times New Roman" w:hAnsi="Times New Roman"/>
                <w:b/>
                <w:bCs/>
              </w:rPr>
            </w:pPr>
            <w:r w:rsidRPr="002269DF">
              <w:rPr>
                <w:rFonts w:ascii="Times New Roman" w:hAnsi="Times New Roman"/>
                <w:b/>
                <w:bCs/>
              </w:rPr>
              <w:t>- w zakresie podatków lokalnych i majątkowych</w:t>
            </w:r>
          </w:p>
          <w:p w14:paraId="0CFBEC68" w14:textId="77777777" w:rsidR="00E238FE" w:rsidRDefault="00E238FE" w:rsidP="00024D8C">
            <w:p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Zmiany dotyczące formularzy podatkowych nie wiążą się z negatywnymi skutkami finansowymi dla</w:t>
            </w:r>
            <w:r w:rsidR="0067416A">
              <w:rPr>
                <w:rFonts w:ascii="Times New Roman" w:hAnsi="Times New Roman"/>
                <w:bCs/>
              </w:rPr>
              <w:t xml:space="preserve"> sektora finansów publicznych.</w:t>
            </w:r>
          </w:p>
          <w:p w14:paraId="6AAE8179" w14:textId="77777777" w:rsidR="00E238FE" w:rsidRPr="002269DF" w:rsidRDefault="00E238FE" w:rsidP="00024D8C">
            <w:pPr>
              <w:autoSpaceDE w:val="0"/>
              <w:autoSpaceDN w:val="0"/>
              <w:adjustRightInd w:val="0"/>
              <w:spacing w:before="120" w:line="240" w:lineRule="auto"/>
              <w:jc w:val="both"/>
              <w:rPr>
                <w:rFonts w:ascii="Times New Roman" w:hAnsi="Times New Roman"/>
                <w:b/>
                <w:bCs/>
              </w:rPr>
            </w:pPr>
            <w:r w:rsidRPr="002269DF">
              <w:rPr>
                <w:rFonts w:ascii="Times New Roman" w:hAnsi="Times New Roman"/>
                <w:b/>
                <w:bCs/>
              </w:rPr>
              <w:t>- w zakresie prawa celnego</w:t>
            </w:r>
          </w:p>
          <w:p w14:paraId="43A9F352" w14:textId="77777777" w:rsidR="00E238FE" w:rsidRPr="002269DF" w:rsidRDefault="00E238FE" w:rsidP="008B3AA3">
            <w:pPr>
              <w:numPr>
                <w:ilvl w:val="0"/>
                <w:numId w:val="4"/>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 xml:space="preserve">Zmiana polegająca na uproszczeniu procedury udzielania pozwoleń na procedury specjalne przyniesie neutralne skutki finansowe. </w:t>
            </w:r>
          </w:p>
          <w:p w14:paraId="69E86DFF" w14:textId="77777777" w:rsidR="00E238FE" w:rsidRPr="002269DF" w:rsidRDefault="00E238FE" w:rsidP="008B3AA3">
            <w:pPr>
              <w:numPr>
                <w:ilvl w:val="0"/>
                <w:numId w:val="4"/>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W 2015 r. organy celne wystawiły ok. 30.000 mandatów karnych. Przyjmując, iż:</w:t>
            </w:r>
          </w:p>
          <w:p w14:paraId="14D0CE58" w14:textId="77777777" w:rsidR="00E238FE" w:rsidRPr="002269DF" w:rsidRDefault="00E238FE" w:rsidP="008B3AA3">
            <w:pPr>
              <w:numPr>
                <w:ilvl w:val="0"/>
                <w:numId w:val="5"/>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 xml:space="preserve">w znacznej większości spraw, w których nałożono mandat karny zajęto papierosy </w:t>
            </w:r>
            <w:r w:rsidRPr="002269DF">
              <w:rPr>
                <w:rFonts w:ascii="Times New Roman" w:hAnsi="Times New Roman"/>
                <w:bCs/>
              </w:rPr>
              <w:br/>
              <w:t>o nieznacznej wartości,</w:t>
            </w:r>
          </w:p>
          <w:p w14:paraId="2988BF5E" w14:textId="77777777" w:rsidR="00E238FE" w:rsidRPr="002269DF" w:rsidRDefault="00E238FE" w:rsidP="008B3AA3">
            <w:pPr>
              <w:numPr>
                <w:ilvl w:val="0"/>
                <w:numId w:val="5"/>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 xml:space="preserve">w każdej z tych spraw dochodzi do orzeczenia przepadku zajętego towaru </w:t>
            </w:r>
            <w:r w:rsidRPr="002269DF">
              <w:rPr>
                <w:rFonts w:ascii="Times New Roman" w:hAnsi="Times New Roman"/>
                <w:bCs/>
              </w:rPr>
              <w:br/>
              <w:t>i obligatoryjnego ich zniszczenia,</w:t>
            </w:r>
          </w:p>
          <w:p w14:paraId="7E2231DE" w14:textId="77777777" w:rsidR="00E238FE" w:rsidRPr="002269DF" w:rsidRDefault="00E238FE" w:rsidP="008B3AA3">
            <w:pPr>
              <w:numPr>
                <w:ilvl w:val="0"/>
                <w:numId w:val="5"/>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 xml:space="preserve">koszty zniszczenia w każdej z tych spraw nie przekraczają równowartości 10 EUR (najczęściej są to groszowe, najwyżej kilkuzłotowe kwoty), </w:t>
            </w:r>
          </w:p>
          <w:p w14:paraId="00DFFEC0" w14:textId="77777777" w:rsidR="00E238FE" w:rsidRPr="002269DF" w:rsidRDefault="00E238FE" w:rsidP="008B3AA3">
            <w:pPr>
              <w:numPr>
                <w:ilvl w:val="0"/>
                <w:numId w:val="5"/>
              </w:num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 xml:space="preserve">średnia kwota ponoszona przez budżet państwa na dochodzenie ww. kosztów zniszczenia towaru wynosi około 50 zł w każdej sprawie (koszt pracy funkcjonariusza celnego przeprowadzającego całą procedurę ustalenia kosztów zniszczenia , wydania i doręczenia decyzji o tych kosztach, itd.) </w:t>
            </w:r>
          </w:p>
          <w:p w14:paraId="2C3CAAD9" w14:textId="77777777" w:rsidR="00E238FE" w:rsidRPr="002269DF" w:rsidRDefault="00E238FE" w:rsidP="00A70D6E">
            <w:pPr>
              <w:autoSpaceDE w:val="0"/>
              <w:autoSpaceDN w:val="0"/>
              <w:adjustRightInd w:val="0"/>
              <w:spacing w:before="120" w:line="240" w:lineRule="auto"/>
              <w:ind w:left="768"/>
              <w:jc w:val="both"/>
              <w:rPr>
                <w:rFonts w:ascii="Times New Roman" w:hAnsi="Times New Roman"/>
                <w:bCs/>
              </w:rPr>
            </w:pPr>
            <w:r w:rsidRPr="002269DF">
              <w:rPr>
                <w:rFonts w:ascii="Times New Roman" w:hAnsi="Times New Roman"/>
                <w:bCs/>
              </w:rPr>
              <w:t xml:space="preserve">- łączna kwota ponoszona rocznie na dochodzenie kosztów likwidacji towarów wynosi przy uwzględnieniu powyższych założeń około 1,5 mln zł. Kwota ta nie zostanie wydatkowana przez budżet państwa na dochodzenie i tak nieściągalnych kosztów likwidacji towarów. </w:t>
            </w:r>
            <w:r w:rsidR="005A2F1E">
              <w:rPr>
                <w:rFonts w:ascii="Times New Roman" w:hAnsi="Times New Roman"/>
                <w:bCs/>
              </w:rPr>
              <w:t xml:space="preserve">Kwota ta została uwzględniona w tabeli wyżej. </w:t>
            </w:r>
          </w:p>
          <w:p w14:paraId="2E7308EC" w14:textId="77777777" w:rsidR="00E238FE" w:rsidRPr="002269DF" w:rsidRDefault="00E238FE" w:rsidP="00F845BF">
            <w:pPr>
              <w:autoSpaceDE w:val="0"/>
              <w:autoSpaceDN w:val="0"/>
              <w:adjustRightInd w:val="0"/>
              <w:spacing w:before="120" w:line="240" w:lineRule="auto"/>
              <w:jc w:val="both"/>
              <w:rPr>
                <w:rFonts w:ascii="Times New Roman" w:hAnsi="Times New Roman"/>
                <w:b/>
                <w:color w:val="000000"/>
              </w:rPr>
            </w:pPr>
            <w:r w:rsidRPr="002269DF">
              <w:rPr>
                <w:rFonts w:ascii="Times New Roman" w:hAnsi="Times New Roman"/>
                <w:b/>
                <w:color w:val="000000"/>
              </w:rPr>
              <w:t xml:space="preserve">- w zakresie ustawy – Ordynacja podatkowa: </w:t>
            </w:r>
          </w:p>
          <w:p w14:paraId="0E2A0CA8" w14:textId="77777777" w:rsidR="00E238FE" w:rsidRPr="002269DF" w:rsidRDefault="00E238FE" w:rsidP="00F845BF">
            <w:pPr>
              <w:autoSpaceDE w:val="0"/>
              <w:autoSpaceDN w:val="0"/>
              <w:adjustRightInd w:val="0"/>
              <w:spacing w:before="120" w:line="240" w:lineRule="auto"/>
              <w:jc w:val="both"/>
              <w:rPr>
                <w:rFonts w:ascii="Times New Roman" w:hAnsi="Times New Roman"/>
                <w:color w:val="000000"/>
              </w:rPr>
            </w:pPr>
            <w:r w:rsidRPr="002269DF">
              <w:rPr>
                <w:rFonts w:ascii="Times New Roman" w:hAnsi="Times New Roman"/>
                <w:color w:val="000000"/>
              </w:rPr>
              <w:t>Brak wpływu na dochody budżetu państwa i budżetów JST. Propozycja pozostaje bez wpływu na wydatki sektora finansów publicznych.</w:t>
            </w:r>
          </w:p>
          <w:p w14:paraId="7E344CBA" w14:textId="44CB8DDA" w:rsidR="00E238FE" w:rsidRPr="002269DF" w:rsidRDefault="00E238FE" w:rsidP="00A227A7">
            <w:p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Wydatki obciążające budżet państwa będą finansowane w ramach limitu wydatków przewidzianego corocznie w ustawie budżetowej we właściwej części budżetowej, bez</w:t>
            </w:r>
            <w:r w:rsidR="009060D1">
              <w:rPr>
                <w:rFonts w:ascii="Times New Roman" w:hAnsi="Times New Roman"/>
                <w:bCs/>
              </w:rPr>
              <w:t> </w:t>
            </w:r>
            <w:r w:rsidRPr="002269DF">
              <w:rPr>
                <w:rFonts w:ascii="Times New Roman" w:hAnsi="Times New Roman"/>
                <w:bCs/>
              </w:rPr>
              <w:t>konieczności wyasygnowania dodatkowych środków ponad limit dysponenta.</w:t>
            </w:r>
          </w:p>
          <w:p w14:paraId="37706CE6" w14:textId="77777777" w:rsidR="00E238FE" w:rsidRPr="002269DF" w:rsidRDefault="00E238FE" w:rsidP="00F93E69">
            <w:pPr>
              <w:autoSpaceDE w:val="0"/>
              <w:autoSpaceDN w:val="0"/>
              <w:adjustRightInd w:val="0"/>
              <w:spacing w:before="120" w:line="240" w:lineRule="auto"/>
              <w:jc w:val="both"/>
              <w:rPr>
                <w:rFonts w:ascii="Times New Roman" w:hAnsi="Times New Roman"/>
                <w:bCs/>
              </w:rPr>
            </w:pPr>
            <w:r w:rsidRPr="002269DF">
              <w:rPr>
                <w:rFonts w:ascii="Times New Roman" w:hAnsi="Times New Roman"/>
                <w:bCs/>
              </w:rPr>
              <w:t xml:space="preserve">- </w:t>
            </w:r>
            <w:r w:rsidRPr="002269DF">
              <w:rPr>
                <w:rFonts w:ascii="Times New Roman" w:hAnsi="Times New Roman"/>
                <w:b/>
                <w:bCs/>
              </w:rPr>
              <w:t>w zakresie ustawy o administrowaniu obrotem</w:t>
            </w:r>
          </w:p>
          <w:p w14:paraId="6F0E9662" w14:textId="1753B17C" w:rsidR="00E238FE" w:rsidRPr="002269DF" w:rsidRDefault="00E238FE" w:rsidP="005A4960">
            <w:pPr>
              <w:autoSpaceDE w:val="0"/>
              <w:autoSpaceDN w:val="0"/>
              <w:adjustRightInd w:val="0"/>
              <w:spacing w:before="120" w:after="120" w:line="240" w:lineRule="auto"/>
              <w:jc w:val="both"/>
              <w:rPr>
                <w:rFonts w:ascii="Times New Roman" w:hAnsi="Times New Roman"/>
                <w:bCs/>
              </w:rPr>
            </w:pPr>
            <w:r w:rsidRPr="002269DF">
              <w:rPr>
                <w:rFonts w:ascii="Times New Roman" w:hAnsi="Times New Roman"/>
                <w:bCs/>
              </w:rPr>
              <w:t xml:space="preserve">Elektronizacja zmniejszy koszty obsługi przedsiębiorców. </w:t>
            </w:r>
          </w:p>
          <w:p w14:paraId="1DAC1DD9" w14:textId="77777777" w:rsidR="00E238FE" w:rsidRPr="002269DF" w:rsidRDefault="00E238FE" w:rsidP="00C8184E">
            <w:pPr>
              <w:autoSpaceDE w:val="0"/>
              <w:autoSpaceDN w:val="0"/>
              <w:adjustRightInd w:val="0"/>
              <w:spacing w:line="240" w:lineRule="auto"/>
              <w:jc w:val="both"/>
              <w:rPr>
                <w:rFonts w:ascii="Times New Roman" w:hAnsi="Times New Roman"/>
                <w:color w:val="000000"/>
                <w:lang w:eastAsia="pl-PL"/>
              </w:rPr>
            </w:pPr>
            <w:r w:rsidRPr="002269DF">
              <w:rPr>
                <w:rFonts w:ascii="Times New Roman" w:hAnsi="Times New Roman"/>
              </w:rPr>
              <w:t xml:space="preserve">W zakresie zmiany polegającej na zniesieniu obowiązku wydawania pozwoleń na podstawie ustawy o administrowaniu obrotem towarowym z zagranicą i zastąpieniu ich licencjami należy mieć na uwadze, że </w:t>
            </w:r>
            <w:r w:rsidRPr="002269DF">
              <w:rPr>
                <w:rFonts w:ascii="Times New Roman" w:hAnsi="Times New Roman"/>
                <w:color w:val="000000"/>
                <w:lang w:eastAsia="pl-PL"/>
              </w:rPr>
              <w:t>to, że licencja nie będzie decyzją z formalnego punktu widzenia nie będzie miało wpływu na dochody. D</w:t>
            </w:r>
            <w:r w:rsidRPr="002269DF">
              <w:rPr>
                <w:rFonts w:ascii="Times New Roman" w:hAnsi="Times New Roman"/>
              </w:rPr>
              <w:t>ecyzja administracyjna nie była objęta opłatą skarbową</w:t>
            </w:r>
            <w:r w:rsidRPr="002269DF">
              <w:rPr>
                <w:rFonts w:ascii="Times New Roman" w:hAnsi="Times New Roman"/>
                <w:color w:val="000000"/>
                <w:lang w:eastAsia="pl-PL"/>
              </w:rPr>
              <w:t xml:space="preserve">, była </w:t>
            </w:r>
            <w:r w:rsidRPr="002269DF">
              <w:rPr>
                <w:rFonts w:ascii="Times New Roman" w:hAnsi="Times New Roman"/>
                <w:color w:val="000000"/>
                <w:lang w:eastAsia="pl-PL"/>
              </w:rPr>
              <w:lastRenderedPageBreak/>
              <w:t>uzupełnieniem licencji wspólnotowej o polskie wymogi formalne np. uzasadnienie, pouczenie. Unijne przepisy wprost mówią, że uzyskiwanie licencji jest wolne od opłat.</w:t>
            </w:r>
          </w:p>
          <w:p w14:paraId="6F01C534" w14:textId="0E6DF424" w:rsidR="00E238FE" w:rsidRPr="002269DF" w:rsidRDefault="00E238FE" w:rsidP="00FA6E04">
            <w:pPr>
              <w:autoSpaceDE w:val="0"/>
              <w:autoSpaceDN w:val="0"/>
              <w:adjustRightInd w:val="0"/>
              <w:spacing w:before="120" w:line="240" w:lineRule="auto"/>
              <w:jc w:val="both"/>
              <w:rPr>
                <w:rFonts w:ascii="Times New Roman" w:hAnsi="Times New Roman"/>
                <w:bCs/>
              </w:rPr>
            </w:pPr>
            <w:r w:rsidRPr="002269DF">
              <w:rPr>
                <w:rFonts w:ascii="Times New Roman" w:hAnsi="Times New Roman"/>
                <w:color w:val="000000"/>
                <w:lang w:eastAsia="pl-PL"/>
              </w:rPr>
              <w:t xml:space="preserve">W zakresie zmiany polegającej na </w:t>
            </w:r>
            <w:r w:rsidRPr="002269DF">
              <w:rPr>
                <w:rFonts w:ascii="Times New Roman" w:hAnsi="Times New Roman"/>
              </w:rPr>
              <w:t>wyłączeniu obowiązku dołączania do wniosku przez</w:t>
            </w:r>
            <w:r w:rsidR="009060D1">
              <w:rPr>
                <w:rFonts w:ascii="Times New Roman" w:hAnsi="Times New Roman"/>
              </w:rPr>
              <w:t> </w:t>
            </w:r>
            <w:r w:rsidRPr="002269DF">
              <w:rPr>
                <w:rFonts w:ascii="Times New Roman" w:hAnsi="Times New Roman"/>
                <w:color w:val="000000"/>
              </w:rPr>
              <w:t>przedsiębiorcę pełnomocnictwa należy mieć na uwadze, że d</w:t>
            </w:r>
            <w:r w:rsidRPr="002269DF">
              <w:rPr>
                <w:rFonts w:ascii="Times New Roman" w:hAnsi="Times New Roman"/>
                <w:color w:val="000000"/>
                <w:lang w:eastAsia="pl-PL"/>
              </w:rPr>
              <w:t>ochody z tytułu opłaty skarbowej za złożenie dokumentu pełnomocnictwa nie są pewnym źródłem dochodów gmin. Z</w:t>
            </w:r>
            <w:r w:rsidR="009060D1">
              <w:rPr>
                <w:rFonts w:ascii="Times New Roman" w:hAnsi="Times New Roman"/>
                <w:color w:val="000000"/>
                <w:lang w:eastAsia="pl-PL"/>
              </w:rPr>
              <w:t> </w:t>
            </w:r>
            <w:r w:rsidRPr="002269DF">
              <w:rPr>
                <w:rFonts w:ascii="Times New Roman" w:hAnsi="Times New Roman"/>
                <w:color w:val="000000"/>
                <w:lang w:eastAsia="pl-PL"/>
              </w:rPr>
              <w:t>praktyki MR wynika, że firmy zrezygnowały ze składania wniosków poprzez pełnomocnika (preferują przekazanie do podpisu prezesa lub kogoś z uprawnieniami) gdyż składają po</w:t>
            </w:r>
            <w:r w:rsidR="009060D1">
              <w:rPr>
                <w:rFonts w:ascii="Times New Roman" w:hAnsi="Times New Roman"/>
                <w:color w:val="000000"/>
                <w:lang w:eastAsia="pl-PL"/>
              </w:rPr>
              <w:t> </w:t>
            </w:r>
            <w:r w:rsidRPr="002269DF">
              <w:rPr>
                <w:rFonts w:ascii="Times New Roman" w:hAnsi="Times New Roman"/>
                <w:color w:val="000000"/>
                <w:lang w:eastAsia="pl-PL"/>
              </w:rPr>
              <w:t>kilkanaście takich wniosków dziennie. Należy również zauważyć, że akurat opłaty (zarówno z Agencji Rynku Rolnego, jak i MR) wpływają na konto tylko do dwóch urzędów: Urząd Dzielnicy Śródmieście i Dzielnicy Wola.</w:t>
            </w:r>
            <w:r w:rsidRPr="002269DF">
              <w:rPr>
                <w:rFonts w:ascii="Times New Roman" w:hAnsi="Times New Roman"/>
                <w:color w:val="000000"/>
                <w:sz w:val="20"/>
                <w:szCs w:val="20"/>
                <w:lang w:eastAsia="pl-PL"/>
              </w:rPr>
              <w:t xml:space="preserve"> </w:t>
            </w:r>
            <w:r w:rsidRPr="00124CB8">
              <w:rPr>
                <w:rFonts w:ascii="Times New Roman" w:hAnsi="Times New Roman"/>
                <w:color w:val="000000"/>
                <w:lang w:eastAsia="pl-PL"/>
              </w:rPr>
              <w:t>Zatem uszczuplenie ewentualnych dochodów dotyczyłoby tylko dwóch gmin i wg szacunków na podstawie przyjętych najbardziej optymalnych parametrów byłoby to ok. 8400</w:t>
            </w:r>
            <w:r w:rsidR="0067416A" w:rsidRPr="00124CB8">
              <w:rPr>
                <w:rFonts w:ascii="Times New Roman" w:hAnsi="Times New Roman"/>
                <w:color w:val="000000"/>
                <w:lang w:eastAsia="pl-PL"/>
              </w:rPr>
              <w:t> </w:t>
            </w:r>
            <w:proofErr w:type="spellStart"/>
            <w:r w:rsidRPr="00124CB8">
              <w:rPr>
                <w:rFonts w:ascii="Times New Roman" w:hAnsi="Times New Roman"/>
                <w:color w:val="000000"/>
                <w:lang w:eastAsia="pl-PL"/>
              </w:rPr>
              <w:t>pln</w:t>
            </w:r>
            <w:proofErr w:type="spellEnd"/>
            <w:r w:rsidRPr="00124CB8">
              <w:rPr>
                <w:rFonts w:ascii="Times New Roman" w:hAnsi="Times New Roman"/>
                <w:color w:val="000000"/>
                <w:lang w:eastAsia="pl-PL"/>
              </w:rPr>
              <w:t xml:space="preserve"> miesięcznie.</w:t>
            </w:r>
          </w:p>
          <w:p w14:paraId="31F73EA6" w14:textId="77777777" w:rsidR="00E238FE" w:rsidRPr="002269DF" w:rsidRDefault="00E238FE" w:rsidP="00891BA8">
            <w:pPr>
              <w:spacing w:before="120" w:line="240" w:lineRule="auto"/>
              <w:ind w:left="176" w:hanging="176"/>
              <w:jc w:val="both"/>
              <w:rPr>
                <w:rFonts w:ascii="Times New Roman" w:hAnsi="Times New Roman"/>
              </w:rPr>
            </w:pPr>
            <w:r w:rsidRPr="002269DF">
              <w:rPr>
                <w:rFonts w:ascii="Times New Roman" w:hAnsi="Times New Roman"/>
                <w:b/>
              </w:rPr>
              <w:t>– w zakresie terminów zapłaty</w:t>
            </w:r>
          </w:p>
          <w:p w14:paraId="752B295D" w14:textId="4B140C45" w:rsidR="00E238FE" w:rsidRPr="002269DF" w:rsidRDefault="00E238FE" w:rsidP="002E3055">
            <w:pPr>
              <w:autoSpaceDE w:val="0"/>
              <w:autoSpaceDN w:val="0"/>
              <w:adjustRightInd w:val="0"/>
              <w:spacing w:before="120" w:line="240" w:lineRule="auto"/>
              <w:jc w:val="both"/>
              <w:rPr>
                <w:rFonts w:ascii="Times New Roman" w:hAnsi="Times New Roman"/>
                <w:bCs/>
              </w:rPr>
            </w:pPr>
            <w:r w:rsidRPr="002269DF">
              <w:rPr>
                <w:rFonts w:ascii="Times New Roman" w:hAnsi="Times New Roman"/>
              </w:rPr>
              <w:t>Ograniczenie sytuacji, w których terminy zapłaty ustalane przez podmioty publiczne na rzecz przedsiębiorców przekraczają 30 dni może spowodować, że te podmioty publiczne, które do</w:t>
            </w:r>
            <w:r w:rsidR="009060D1">
              <w:rPr>
                <w:rFonts w:ascii="Times New Roman" w:hAnsi="Times New Roman"/>
              </w:rPr>
              <w:t> </w:t>
            </w:r>
            <w:r w:rsidRPr="002269DF">
              <w:rPr>
                <w:rFonts w:ascii="Times New Roman" w:hAnsi="Times New Roman"/>
              </w:rPr>
              <w:t>tej</w:t>
            </w:r>
            <w:r w:rsidR="009060D1">
              <w:rPr>
                <w:rFonts w:ascii="Times New Roman" w:hAnsi="Times New Roman"/>
              </w:rPr>
              <w:t> </w:t>
            </w:r>
            <w:r w:rsidRPr="002269DF">
              <w:rPr>
                <w:rFonts w:ascii="Times New Roman" w:hAnsi="Times New Roman"/>
              </w:rPr>
              <w:t xml:space="preserve">pory regulowały płatności w transakcjach handlowych po 30 dniach lub później będą musiały szybciej regulować płatności wobec przedsiębiorców. </w:t>
            </w:r>
            <w:r w:rsidRPr="002269DF">
              <w:rPr>
                <w:rFonts w:ascii="Times New Roman" w:hAnsi="Times New Roman"/>
                <w:bCs/>
              </w:rPr>
              <w:t xml:space="preserve">Propozycja nie spowoduje jednak ubytku dochodów sektora finansów publicznych. Efektem może być jedynie przesunięcie na wcześniejszy okres niektórych płatności dokonywanych przez podmioty publiczne. Ze względu na brak danych statystycznych dotyczących skali płatności regulowanych przez podmioty publiczne po 30 dniach lub później (w kontekście art. 8 ust. 3 i 4 ustawy o terminach zapłaty w transakcjach handlowych) na tym etapie prac nie jest możliwe określenie konkretnego wpływu w ujęciu liczbowym i pieniężnym. </w:t>
            </w:r>
          </w:p>
          <w:p w14:paraId="13DEC46E" w14:textId="77777777" w:rsidR="00E238FE" w:rsidRPr="002269DF" w:rsidRDefault="00E238FE" w:rsidP="00421AFC">
            <w:pPr>
              <w:autoSpaceDE w:val="0"/>
              <w:autoSpaceDN w:val="0"/>
              <w:adjustRightInd w:val="0"/>
              <w:spacing w:before="120" w:line="240" w:lineRule="auto"/>
              <w:jc w:val="both"/>
              <w:rPr>
                <w:rFonts w:ascii="Times New Roman" w:hAnsi="Times New Roman"/>
                <w:b/>
                <w:bCs/>
              </w:rPr>
            </w:pPr>
            <w:r w:rsidRPr="002269DF">
              <w:rPr>
                <w:rFonts w:ascii="Times New Roman" w:hAnsi="Times New Roman"/>
                <w:b/>
                <w:bCs/>
              </w:rPr>
              <w:t>- w zakresie bezpieczeństwa żywności i żywienia</w:t>
            </w:r>
          </w:p>
          <w:p w14:paraId="64227C50" w14:textId="16138071" w:rsidR="00E238FE" w:rsidRPr="002269DF" w:rsidRDefault="00E238FE" w:rsidP="00421AFC">
            <w:pPr>
              <w:autoSpaceDE w:val="0"/>
              <w:autoSpaceDN w:val="0"/>
              <w:adjustRightInd w:val="0"/>
              <w:spacing w:before="120" w:line="240" w:lineRule="auto"/>
              <w:jc w:val="both"/>
              <w:rPr>
                <w:rFonts w:ascii="Times New Roman" w:hAnsi="Times New Roman"/>
                <w:color w:val="000000"/>
                <w:lang w:eastAsia="pl-PL"/>
              </w:rPr>
            </w:pPr>
            <w:r w:rsidRPr="002269DF">
              <w:rPr>
                <w:rFonts w:ascii="Times New Roman" w:hAnsi="Times New Roman"/>
                <w:color w:val="000000"/>
                <w:lang w:eastAsia="pl-PL"/>
              </w:rPr>
              <w:t>Według danych foodtruckportal.pl w 2012 r. działało na rynku ok. 30 mobilnych gastronomii. W 2017 r. działa ich już ponad 900, co oznacza wzrost ich</w:t>
            </w:r>
            <w:r w:rsidR="00FF10E7">
              <w:rPr>
                <w:rFonts w:ascii="Times New Roman" w:hAnsi="Times New Roman"/>
                <w:color w:val="000000"/>
                <w:lang w:eastAsia="pl-PL"/>
              </w:rPr>
              <w:t xml:space="preserve"> ilości w przeciągu 5 ostatnich</w:t>
            </w:r>
            <w:r w:rsidRPr="002269DF">
              <w:rPr>
                <w:rFonts w:ascii="Times New Roman" w:hAnsi="Times New Roman"/>
                <w:color w:val="000000"/>
                <w:lang w:eastAsia="pl-PL"/>
              </w:rPr>
              <w:t xml:space="preserve"> lat o ok. 3000 proc. Prognozuje się dalszy intensywny rozwój tego rodzaju podmiotów branży gastronomicznej.</w:t>
            </w:r>
          </w:p>
          <w:p w14:paraId="3C1FA383" w14:textId="77777777" w:rsidR="0067416A" w:rsidRDefault="00A67901" w:rsidP="00EA25AB">
            <w:pPr>
              <w:spacing w:line="240" w:lineRule="auto"/>
              <w:jc w:val="both"/>
              <w:rPr>
                <w:rFonts w:ascii="Times New Roman" w:hAnsi="Times New Roman"/>
                <w:color w:val="000000"/>
                <w:lang w:eastAsia="pl-PL"/>
              </w:rPr>
            </w:pPr>
            <w:r w:rsidRPr="002269DF">
              <w:rPr>
                <w:rFonts w:ascii="Times New Roman" w:hAnsi="Times New Roman"/>
                <w:color w:val="000000"/>
                <w:lang w:eastAsia="pl-PL"/>
              </w:rPr>
              <w:t>W przypadku niektórych rozwiązań szacunki dla kolejnych lat zostaną przygotowane w oparciu o ewaluację dokonaną po pierwszym roku funkcjonowania nowych przepisów.</w:t>
            </w:r>
          </w:p>
          <w:p w14:paraId="24D0B01C" w14:textId="77777777" w:rsidR="00A67901" w:rsidRPr="002269DF" w:rsidRDefault="00A67901" w:rsidP="00EA25AB">
            <w:pPr>
              <w:spacing w:line="240" w:lineRule="auto"/>
              <w:jc w:val="both"/>
              <w:rPr>
                <w:rFonts w:ascii="Times New Roman" w:hAnsi="Times New Roman"/>
                <w:color w:val="000000"/>
                <w:lang w:eastAsia="pl-PL"/>
              </w:rPr>
            </w:pPr>
            <w:r w:rsidRPr="002269DF">
              <w:rPr>
                <w:rFonts w:ascii="Times New Roman" w:hAnsi="Times New Roman"/>
                <w:color w:val="000000"/>
                <w:lang w:eastAsia="pl-PL"/>
              </w:rPr>
              <w:t>Ponadto ze względu na to, że powyższe szacunki opierają się na licznych założeniach podana została jedynie przybliżona estymacja.</w:t>
            </w:r>
          </w:p>
        </w:tc>
      </w:tr>
      <w:tr w:rsidR="00E238FE" w:rsidRPr="002269DF" w14:paraId="6C12F19C" w14:textId="77777777" w:rsidTr="00676C8D">
        <w:trPr>
          <w:gridAfter w:val="1"/>
          <w:wAfter w:w="10" w:type="dxa"/>
          <w:trHeight w:val="345"/>
        </w:trPr>
        <w:tc>
          <w:tcPr>
            <w:tcW w:w="10937" w:type="dxa"/>
            <w:gridSpan w:val="29"/>
            <w:shd w:val="clear" w:color="auto" w:fill="99CCFF"/>
          </w:tcPr>
          <w:p w14:paraId="3CF708A2" w14:textId="77777777" w:rsidR="00E238FE" w:rsidRPr="002269DF" w:rsidRDefault="00E238FE" w:rsidP="00F9516F">
            <w:pPr>
              <w:numPr>
                <w:ilvl w:val="0"/>
                <w:numId w:val="1"/>
              </w:numPr>
              <w:spacing w:before="120" w:after="120" w:line="240" w:lineRule="auto"/>
              <w:jc w:val="both"/>
              <w:rPr>
                <w:rFonts w:ascii="Times New Roman" w:hAnsi="Times New Roman"/>
                <w:b/>
                <w:spacing w:val="-2"/>
              </w:rPr>
            </w:pPr>
            <w:r w:rsidRPr="002269DF">
              <w:rPr>
                <w:rFonts w:ascii="Times New Roman" w:hAnsi="Times New Roman"/>
                <w:b/>
                <w:spacing w:val="-2"/>
              </w:rPr>
              <w:lastRenderedPageBreak/>
              <w:t xml:space="preserve">Wpływ na </w:t>
            </w:r>
            <w:r w:rsidRPr="002269DF">
              <w:rPr>
                <w:rFonts w:ascii="Times New Roman" w:hAnsi="Times New Roman"/>
                <w:b/>
              </w:rPr>
              <w:t xml:space="preserve">konkurencyjność gospodarki i przedsiębiorczość, w tym funkcjonowanie przedsiębiorców oraz na rodzinę, obywateli i gospodarstwa domowe </w:t>
            </w:r>
          </w:p>
        </w:tc>
      </w:tr>
      <w:tr w:rsidR="00E238FE" w:rsidRPr="002269DF" w14:paraId="0288A6AD" w14:textId="77777777" w:rsidTr="00676C8D">
        <w:trPr>
          <w:gridAfter w:val="1"/>
          <w:wAfter w:w="10" w:type="dxa"/>
          <w:trHeight w:val="142"/>
        </w:trPr>
        <w:tc>
          <w:tcPr>
            <w:tcW w:w="10937" w:type="dxa"/>
            <w:gridSpan w:val="29"/>
            <w:shd w:val="clear" w:color="auto" w:fill="FFFFFF"/>
          </w:tcPr>
          <w:p w14:paraId="2DCBE7CE" w14:textId="77777777" w:rsidR="00E238FE" w:rsidRPr="002269DF" w:rsidRDefault="00E238FE" w:rsidP="00D75DD2">
            <w:pPr>
              <w:spacing w:line="240" w:lineRule="auto"/>
              <w:jc w:val="center"/>
              <w:rPr>
                <w:rFonts w:ascii="Times New Roman" w:hAnsi="Times New Roman"/>
                <w:spacing w:val="-2"/>
              </w:rPr>
            </w:pPr>
            <w:r w:rsidRPr="002269DF">
              <w:rPr>
                <w:rFonts w:ascii="Times New Roman" w:hAnsi="Times New Roman"/>
                <w:spacing w:val="-2"/>
              </w:rPr>
              <w:t>Skutki</w:t>
            </w:r>
          </w:p>
        </w:tc>
      </w:tr>
      <w:tr w:rsidR="00E238FE" w:rsidRPr="002269DF" w14:paraId="57D49D90" w14:textId="77777777" w:rsidTr="00676C8D">
        <w:trPr>
          <w:gridAfter w:val="1"/>
          <w:wAfter w:w="10" w:type="dxa"/>
          <w:trHeight w:val="142"/>
        </w:trPr>
        <w:tc>
          <w:tcPr>
            <w:tcW w:w="3889" w:type="dxa"/>
            <w:gridSpan w:val="7"/>
            <w:shd w:val="clear" w:color="auto" w:fill="FFFFFF"/>
          </w:tcPr>
          <w:p w14:paraId="4F6EF059" w14:textId="77777777" w:rsidR="00E238FE" w:rsidRPr="002269DF" w:rsidRDefault="00E238FE" w:rsidP="00D75DD2">
            <w:pPr>
              <w:spacing w:line="240" w:lineRule="auto"/>
              <w:rPr>
                <w:rFonts w:ascii="Times New Roman" w:hAnsi="Times New Roman"/>
              </w:rPr>
            </w:pPr>
            <w:r w:rsidRPr="002269DF">
              <w:rPr>
                <w:rFonts w:ascii="Times New Roman" w:hAnsi="Times New Roman"/>
              </w:rPr>
              <w:t>Czas w latach od wejścia w życie zmian</w:t>
            </w:r>
          </w:p>
        </w:tc>
        <w:tc>
          <w:tcPr>
            <w:tcW w:w="937" w:type="dxa"/>
            <w:gridSpan w:val="2"/>
            <w:shd w:val="clear" w:color="auto" w:fill="FFFFFF"/>
          </w:tcPr>
          <w:p w14:paraId="6E075455" w14:textId="77777777" w:rsidR="00E238FE" w:rsidRPr="002269DF" w:rsidRDefault="00E238FE" w:rsidP="00D75DD2">
            <w:pPr>
              <w:spacing w:line="240" w:lineRule="auto"/>
              <w:jc w:val="center"/>
              <w:rPr>
                <w:rFonts w:ascii="Times New Roman" w:hAnsi="Times New Roman"/>
              </w:rPr>
            </w:pPr>
            <w:r w:rsidRPr="002269DF">
              <w:rPr>
                <w:rFonts w:ascii="Times New Roman" w:hAnsi="Times New Roman"/>
              </w:rPr>
              <w:t>0</w:t>
            </w:r>
          </w:p>
        </w:tc>
        <w:tc>
          <w:tcPr>
            <w:tcW w:w="938" w:type="dxa"/>
            <w:gridSpan w:val="4"/>
            <w:shd w:val="clear" w:color="auto" w:fill="FFFFFF"/>
          </w:tcPr>
          <w:p w14:paraId="2A3B3518" w14:textId="77777777" w:rsidR="00E238FE" w:rsidRPr="002269DF" w:rsidRDefault="00E238FE" w:rsidP="00D75DD2">
            <w:pPr>
              <w:spacing w:line="240" w:lineRule="auto"/>
              <w:jc w:val="center"/>
              <w:rPr>
                <w:rFonts w:ascii="Times New Roman" w:hAnsi="Times New Roman"/>
              </w:rPr>
            </w:pPr>
            <w:r w:rsidRPr="002269DF">
              <w:rPr>
                <w:rFonts w:ascii="Times New Roman" w:hAnsi="Times New Roman"/>
              </w:rPr>
              <w:t>1</w:t>
            </w:r>
          </w:p>
        </w:tc>
        <w:tc>
          <w:tcPr>
            <w:tcW w:w="938" w:type="dxa"/>
            <w:gridSpan w:val="4"/>
            <w:shd w:val="clear" w:color="auto" w:fill="FFFFFF"/>
          </w:tcPr>
          <w:p w14:paraId="3C70A911" w14:textId="77777777" w:rsidR="00E238FE" w:rsidRPr="002269DF" w:rsidRDefault="00E238FE" w:rsidP="00D75DD2">
            <w:pPr>
              <w:spacing w:line="240" w:lineRule="auto"/>
              <w:jc w:val="center"/>
              <w:rPr>
                <w:rFonts w:ascii="Times New Roman" w:hAnsi="Times New Roman"/>
              </w:rPr>
            </w:pPr>
            <w:r w:rsidRPr="002269DF">
              <w:rPr>
                <w:rFonts w:ascii="Times New Roman" w:hAnsi="Times New Roman"/>
              </w:rPr>
              <w:t>2</w:t>
            </w:r>
          </w:p>
        </w:tc>
        <w:tc>
          <w:tcPr>
            <w:tcW w:w="937" w:type="dxa"/>
            <w:gridSpan w:val="4"/>
            <w:shd w:val="clear" w:color="auto" w:fill="FFFFFF"/>
          </w:tcPr>
          <w:p w14:paraId="4912D8BA" w14:textId="77777777" w:rsidR="00E238FE" w:rsidRPr="002269DF" w:rsidRDefault="00E238FE" w:rsidP="00D75DD2">
            <w:pPr>
              <w:spacing w:line="240" w:lineRule="auto"/>
              <w:jc w:val="center"/>
              <w:rPr>
                <w:rFonts w:ascii="Times New Roman" w:hAnsi="Times New Roman"/>
              </w:rPr>
            </w:pPr>
            <w:r w:rsidRPr="002269DF">
              <w:rPr>
                <w:rFonts w:ascii="Times New Roman" w:hAnsi="Times New Roman"/>
              </w:rPr>
              <w:t>3</w:t>
            </w:r>
          </w:p>
        </w:tc>
        <w:tc>
          <w:tcPr>
            <w:tcW w:w="938" w:type="dxa"/>
            <w:gridSpan w:val="3"/>
            <w:shd w:val="clear" w:color="auto" w:fill="FFFFFF"/>
          </w:tcPr>
          <w:p w14:paraId="73113275" w14:textId="77777777" w:rsidR="00E238FE" w:rsidRPr="002269DF" w:rsidRDefault="00E238FE" w:rsidP="00D75DD2">
            <w:pPr>
              <w:spacing w:line="240" w:lineRule="auto"/>
              <w:jc w:val="center"/>
              <w:rPr>
                <w:rFonts w:ascii="Times New Roman" w:hAnsi="Times New Roman"/>
              </w:rPr>
            </w:pPr>
            <w:r w:rsidRPr="002269DF">
              <w:rPr>
                <w:rFonts w:ascii="Times New Roman" w:hAnsi="Times New Roman"/>
              </w:rPr>
              <w:t>5</w:t>
            </w:r>
          </w:p>
        </w:tc>
        <w:tc>
          <w:tcPr>
            <w:tcW w:w="938" w:type="dxa"/>
            <w:gridSpan w:val="4"/>
            <w:shd w:val="clear" w:color="auto" w:fill="FFFFFF"/>
          </w:tcPr>
          <w:p w14:paraId="75C99901" w14:textId="77777777" w:rsidR="00E238FE" w:rsidRPr="002269DF" w:rsidRDefault="00E238FE" w:rsidP="00D75DD2">
            <w:pPr>
              <w:spacing w:line="240" w:lineRule="auto"/>
              <w:jc w:val="center"/>
              <w:rPr>
                <w:rFonts w:ascii="Times New Roman" w:hAnsi="Times New Roman"/>
              </w:rPr>
            </w:pPr>
            <w:r w:rsidRPr="002269DF">
              <w:rPr>
                <w:rFonts w:ascii="Times New Roman" w:hAnsi="Times New Roman"/>
              </w:rPr>
              <w:t>10</w:t>
            </w:r>
          </w:p>
        </w:tc>
        <w:tc>
          <w:tcPr>
            <w:tcW w:w="1422" w:type="dxa"/>
            <w:shd w:val="clear" w:color="auto" w:fill="FFFFFF"/>
          </w:tcPr>
          <w:p w14:paraId="51FFA7C9" w14:textId="77777777" w:rsidR="00E238FE" w:rsidRPr="002269DF" w:rsidRDefault="00E238FE" w:rsidP="00D75DD2">
            <w:pPr>
              <w:spacing w:line="240" w:lineRule="auto"/>
              <w:jc w:val="center"/>
              <w:rPr>
                <w:rFonts w:ascii="Times New Roman" w:hAnsi="Times New Roman"/>
                <w:i/>
                <w:spacing w:val="-2"/>
              </w:rPr>
            </w:pPr>
            <w:r w:rsidRPr="002269DF">
              <w:rPr>
                <w:rFonts w:ascii="Times New Roman" w:hAnsi="Times New Roman"/>
                <w:i/>
                <w:spacing w:val="-2"/>
              </w:rPr>
              <w:t>Łącznie</w:t>
            </w:r>
            <w:r w:rsidRPr="002269DF" w:rsidDel="0073273A">
              <w:rPr>
                <w:rFonts w:ascii="Times New Roman" w:hAnsi="Times New Roman"/>
                <w:i/>
                <w:spacing w:val="-2"/>
              </w:rPr>
              <w:t xml:space="preserve"> </w:t>
            </w:r>
            <w:r w:rsidRPr="002269DF">
              <w:rPr>
                <w:rFonts w:ascii="Times New Roman" w:hAnsi="Times New Roman"/>
                <w:i/>
                <w:spacing w:val="-2"/>
              </w:rPr>
              <w:t>(0-10)</w:t>
            </w:r>
          </w:p>
        </w:tc>
      </w:tr>
      <w:tr w:rsidR="00E238FE" w:rsidRPr="002269DF" w14:paraId="37AD1147" w14:textId="77777777" w:rsidTr="00070C24">
        <w:trPr>
          <w:gridAfter w:val="1"/>
          <w:wAfter w:w="10" w:type="dxa"/>
          <w:trHeight w:val="142"/>
        </w:trPr>
        <w:tc>
          <w:tcPr>
            <w:tcW w:w="1596" w:type="dxa"/>
            <w:vMerge w:val="restart"/>
            <w:shd w:val="clear" w:color="auto" w:fill="FFFFFF"/>
          </w:tcPr>
          <w:p w14:paraId="12AD8B76" w14:textId="77777777" w:rsidR="00E238FE" w:rsidRPr="002269DF" w:rsidRDefault="00E238FE" w:rsidP="00D75DD2">
            <w:pPr>
              <w:spacing w:line="240" w:lineRule="auto"/>
              <w:rPr>
                <w:rFonts w:ascii="Times New Roman" w:hAnsi="Times New Roman"/>
              </w:rPr>
            </w:pPr>
            <w:r w:rsidRPr="002269DF">
              <w:rPr>
                <w:rFonts w:ascii="Times New Roman" w:hAnsi="Times New Roman"/>
              </w:rPr>
              <w:t>W ujęciu pieniężnym</w:t>
            </w:r>
          </w:p>
          <w:p w14:paraId="26CBE1CB" w14:textId="77777777" w:rsidR="00E238FE" w:rsidRPr="002269DF" w:rsidRDefault="00E238FE" w:rsidP="00D75DD2">
            <w:pPr>
              <w:spacing w:line="240" w:lineRule="auto"/>
              <w:rPr>
                <w:rFonts w:ascii="Times New Roman" w:hAnsi="Times New Roman"/>
                <w:spacing w:val="-2"/>
              </w:rPr>
            </w:pPr>
            <w:r w:rsidRPr="002269DF">
              <w:rPr>
                <w:rFonts w:ascii="Times New Roman" w:hAnsi="Times New Roman"/>
                <w:spacing w:val="-2"/>
              </w:rPr>
              <w:t xml:space="preserve">(w mln zł, </w:t>
            </w:r>
          </w:p>
          <w:p w14:paraId="76A1FDDD" w14:textId="00CCA0B1" w:rsidR="00E238FE" w:rsidRPr="002269DF" w:rsidRDefault="00E238FE" w:rsidP="00A10103">
            <w:pPr>
              <w:spacing w:line="240" w:lineRule="auto"/>
              <w:rPr>
                <w:rFonts w:ascii="Times New Roman" w:hAnsi="Times New Roman"/>
              </w:rPr>
            </w:pPr>
            <w:r w:rsidRPr="002269DF">
              <w:rPr>
                <w:rFonts w:ascii="Times New Roman" w:hAnsi="Times New Roman"/>
                <w:spacing w:val="-2"/>
              </w:rPr>
              <w:t xml:space="preserve">ceny stałe z </w:t>
            </w:r>
            <w:r w:rsidR="00A10103">
              <w:rPr>
                <w:rFonts w:ascii="Times New Roman" w:hAnsi="Times New Roman"/>
                <w:spacing w:val="-2"/>
              </w:rPr>
              <w:t>2015</w:t>
            </w:r>
            <w:r w:rsidR="00A10103" w:rsidRPr="002269DF">
              <w:rPr>
                <w:rFonts w:ascii="Times New Roman" w:hAnsi="Times New Roman"/>
                <w:spacing w:val="-2"/>
              </w:rPr>
              <w:t xml:space="preserve"> </w:t>
            </w:r>
            <w:r w:rsidRPr="002269DF">
              <w:rPr>
                <w:rFonts w:ascii="Times New Roman" w:hAnsi="Times New Roman"/>
                <w:spacing w:val="-2"/>
              </w:rPr>
              <w:t>r.)</w:t>
            </w:r>
          </w:p>
        </w:tc>
        <w:tc>
          <w:tcPr>
            <w:tcW w:w="2293" w:type="dxa"/>
            <w:gridSpan w:val="6"/>
            <w:shd w:val="clear" w:color="auto" w:fill="FFFFFF"/>
          </w:tcPr>
          <w:p w14:paraId="3F94EE50" w14:textId="77777777" w:rsidR="00E238FE" w:rsidRPr="002269DF" w:rsidRDefault="00E238FE" w:rsidP="00D75DD2">
            <w:pPr>
              <w:spacing w:line="240" w:lineRule="auto"/>
              <w:rPr>
                <w:rFonts w:ascii="Times New Roman" w:hAnsi="Times New Roman"/>
              </w:rPr>
            </w:pPr>
            <w:r w:rsidRPr="002269DF">
              <w:rPr>
                <w:rFonts w:ascii="Times New Roman" w:hAnsi="Times New Roman"/>
              </w:rPr>
              <w:t>duże przedsiębiorstwa</w:t>
            </w:r>
          </w:p>
        </w:tc>
        <w:tc>
          <w:tcPr>
            <w:tcW w:w="937" w:type="dxa"/>
            <w:gridSpan w:val="2"/>
            <w:shd w:val="clear" w:color="auto" w:fill="FFFFFF"/>
          </w:tcPr>
          <w:p w14:paraId="4F87439C" w14:textId="77777777" w:rsidR="00E238FE" w:rsidRPr="002269DF" w:rsidRDefault="00E238FE" w:rsidP="00D75DD2">
            <w:pPr>
              <w:spacing w:line="240" w:lineRule="auto"/>
              <w:rPr>
                <w:rFonts w:ascii="Times New Roman" w:hAnsi="Times New Roman"/>
              </w:rPr>
            </w:pPr>
          </w:p>
        </w:tc>
        <w:tc>
          <w:tcPr>
            <w:tcW w:w="938" w:type="dxa"/>
            <w:gridSpan w:val="4"/>
            <w:shd w:val="clear" w:color="auto" w:fill="FFFFFF"/>
          </w:tcPr>
          <w:p w14:paraId="13399BA1" w14:textId="77777777" w:rsidR="00E238FE" w:rsidRPr="002269DF" w:rsidRDefault="00E238FE" w:rsidP="00D75DD2">
            <w:pPr>
              <w:spacing w:line="240" w:lineRule="auto"/>
              <w:rPr>
                <w:rFonts w:ascii="Times New Roman" w:hAnsi="Times New Roman"/>
              </w:rPr>
            </w:pPr>
          </w:p>
        </w:tc>
        <w:tc>
          <w:tcPr>
            <w:tcW w:w="938" w:type="dxa"/>
            <w:gridSpan w:val="4"/>
            <w:shd w:val="clear" w:color="auto" w:fill="FFFFFF"/>
          </w:tcPr>
          <w:p w14:paraId="24142ECE" w14:textId="77777777" w:rsidR="00E238FE" w:rsidRPr="002269DF" w:rsidRDefault="00E238FE" w:rsidP="00D75DD2">
            <w:pPr>
              <w:spacing w:line="240" w:lineRule="auto"/>
              <w:rPr>
                <w:rFonts w:ascii="Times New Roman" w:hAnsi="Times New Roman"/>
              </w:rPr>
            </w:pPr>
          </w:p>
        </w:tc>
        <w:tc>
          <w:tcPr>
            <w:tcW w:w="937" w:type="dxa"/>
            <w:gridSpan w:val="4"/>
            <w:shd w:val="clear" w:color="auto" w:fill="FFFFFF"/>
          </w:tcPr>
          <w:p w14:paraId="35545AF8" w14:textId="77777777" w:rsidR="00E238FE" w:rsidRPr="002269DF" w:rsidRDefault="00E238FE" w:rsidP="00D75DD2">
            <w:pPr>
              <w:spacing w:line="240" w:lineRule="auto"/>
              <w:rPr>
                <w:rFonts w:ascii="Times New Roman" w:hAnsi="Times New Roman"/>
              </w:rPr>
            </w:pPr>
          </w:p>
        </w:tc>
        <w:tc>
          <w:tcPr>
            <w:tcW w:w="938" w:type="dxa"/>
            <w:gridSpan w:val="3"/>
            <w:shd w:val="clear" w:color="auto" w:fill="FFFFFF"/>
          </w:tcPr>
          <w:p w14:paraId="0032B689" w14:textId="77777777" w:rsidR="00E238FE" w:rsidRPr="002269DF" w:rsidRDefault="00E238FE" w:rsidP="00D75DD2">
            <w:pPr>
              <w:spacing w:line="240" w:lineRule="auto"/>
              <w:rPr>
                <w:rFonts w:ascii="Times New Roman" w:hAnsi="Times New Roman"/>
              </w:rPr>
            </w:pPr>
          </w:p>
        </w:tc>
        <w:tc>
          <w:tcPr>
            <w:tcW w:w="938" w:type="dxa"/>
            <w:gridSpan w:val="4"/>
            <w:shd w:val="clear" w:color="auto" w:fill="FFFFFF"/>
          </w:tcPr>
          <w:p w14:paraId="34916276" w14:textId="77777777" w:rsidR="00E238FE" w:rsidRPr="002269DF" w:rsidRDefault="00E238FE" w:rsidP="00D75DD2">
            <w:pPr>
              <w:spacing w:line="240" w:lineRule="auto"/>
              <w:rPr>
                <w:rFonts w:ascii="Times New Roman" w:hAnsi="Times New Roman"/>
              </w:rPr>
            </w:pPr>
          </w:p>
        </w:tc>
        <w:tc>
          <w:tcPr>
            <w:tcW w:w="1422" w:type="dxa"/>
            <w:shd w:val="clear" w:color="auto" w:fill="FFFFFF"/>
          </w:tcPr>
          <w:p w14:paraId="487B27A7" w14:textId="77777777" w:rsidR="00E238FE" w:rsidRPr="002269DF" w:rsidRDefault="00E238FE" w:rsidP="00D75DD2">
            <w:pPr>
              <w:spacing w:line="240" w:lineRule="auto"/>
              <w:rPr>
                <w:rFonts w:ascii="Times New Roman" w:hAnsi="Times New Roman"/>
                <w:spacing w:val="-2"/>
              </w:rPr>
            </w:pPr>
          </w:p>
        </w:tc>
      </w:tr>
      <w:tr w:rsidR="00A10103" w:rsidRPr="002269DF" w14:paraId="022B2EA2" w14:textId="77777777" w:rsidTr="009F1B14">
        <w:trPr>
          <w:gridAfter w:val="1"/>
          <w:wAfter w:w="10" w:type="dxa"/>
          <w:trHeight w:val="142"/>
        </w:trPr>
        <w:tc>
          <w:tcPr>
            <w:tcW w:w="1596" w:type="dxa"/>
            <w:vMerge/>
            <w:shd w:val="clear" w:color="auto" w:fill="FFFFFF"/>
          </w:tcPr>
          <w:p w14:paraId="057CA1F2" w14:textId="77777777" w:rsidR="00A10103" w:rsidRPr="002269DF" w:rsidRDefault="00A10103" w:rsidP="00D75DD2">
            <w:pPr>
              <w:spacing w:line="240" w:lineRule="auto"/>
              <w:rPr>
                <w:rFonts w:ascii="Times New Roman" w:hAnsi="Times New Roman"/>
              </w:rPr>
            </w:pPr>
          </w:p>
        </w:tc>
        <w:tc>
          <w:tcPr>
            <w:tcW w:w="2293" w:type="dxa"/>
            <w:gridSpan w:val="6"/>
            <w:shd w:val="clear" w:color="auto" w:fill="FFFFFF"/>
          </w:tcPr>
          <w:p w14:paraId="195D6987" w14:textId="77777777" w:rsidR="00A10103" w:rsidRPr="002269DF" w:rsidRDefault="00A10103" w:rsidP="00D75DD2">
            <w:pPr>
              <w:spacing w:line="240" w:lineRule="auto"/>
              <w:rPr>
                <w:rFonts w:ascii="Times New Roman" w:hAnsi="Times New Roman"/>
              </w:rPr>
            </w:pPr>
            <w:r w:rsidRPr="002269DF">
              <w:rPr>
                <w:rFonts w:ascii="Times New Roman" w:hAnsi="Times New Roman"/>
              </w:rPr>
              <w:t>sektor mikro-, małych i średnich przedsiębiorstw</w:t>
            </w:r>
          </w:p>
        </w:tc>
        <w:tc>
          <w:tcPr>
            <w:tcW w:w="937" w:type="dxa"/>
            <w:gridSpan w:val="2"/>
            <w:shd w:val="clear" w:color="auto" w:fill="FFFFFF"/>
            <w:vAlign w:val="bottom"/>
          </w:tcPr>
          <w:p w14:paraId="2FA624C1" w14:textId="410E1B80" w:rsidR="00A10103" w:rsidRPr="009F1B14" w:rsidRDefault="00A10103" w:rsidP="00D75DD2">
            <w:pPr>
              <w:spacing w:line="240" w:lineRule="auto"/>
              <w:rPr>
                <w:rFonts w:ascii="Times New Roman" w:hAnsi="Times New Roman"/>
                <w:sz w:val="20"/>
                <w:szCs w:val="20"/>
              </w:rPr>
            </w:pPr>
            <w:r w:rsidRPr="009F1B14">
              <w:rPr>
                <w:rFonts w:ascii="Times New Roman" w:hAnsi="Times New Roman"/>
                <w:color w:val="000000"/>
                <w:sz w:val="20"/>
                <w:szCs w:val="20"/>
              </w:rPr>
              <w:t>668</w:t>
            </w:r>
          </w:p>
        </w:tc>
        <w:tc>
          <w:tcPr>
            <w:tcW w:w="938" w:type="dxa"/>
            <w:gridSpan w:val="4"/>
            <w:shd w:val="clear" w:color="auto" w:fill="FFFFFF"/>
            <w:vAlign w:val="bottom"/>
          </w:tcPr>
          <w:p w14:paraId="13DCC93F" w14:textId="5541DC22" w:rsidR="00A10103" w:rsidRPr="009F1B14" w:rsidRDefault="00A10103" w:rsidP="00D75DD2">
            <w:pPr>
              <w:spacing w:line="240" w:lineRule="auto"/>
              <w:rPr>
                <w:rFonts w:ascii="Times New Roman" w:hAnsi="Times New Roman"/>
                <w:sz w:val="20"/>
                <w:szCs w:val="20"/>
              </w:rPr>
            </w:pPr>
            <w:r w:rsidRPr="009F1B14">
              <w:rPr>
                <w:rFonts w:ascii="Times New Roman" w:hAnsi="Times New Roman"/>
                <w:color w:val="000000"/>
                <w:sz w:val="20"/>
                <w:szCs w:val="20"/>
              </w:rPr>
              <w:t>441</w:t>
            </w:r>
          </w:p>
        </w:tc>
        <w:tc>
          <w:tcPr>
            <w:tcW w:w="938" w:type="dxa"/>
            <w:gridSpan w:val="4"/>
            <w:shd w:val="clear" w:color="auto" w:fill="FFFFFF"/>
            <w:vAlign w:val="bottom"/>
          </w:tcPr>
          <w:p w14:paraId="18213428" w14:textId="5AA6EE00" w:rsidR="00A10103" w:rsidRPr="009F1B14" w:rsidRDefault="00A10103" w:rsidP="00D75DD2">
            <w:pPr>
              <w:spacing w:line="240" w:lineRule="auto"/>
              <w:rPr>
                <w:rFonts w:ascii="Times New Roman" w:hAnsi="Times New Roman"/>
                <w:sz w:val="20"/>
                <w:szCs w:val="20"/>
              </w:rPr>
            </w:pPr>
            <w:r w:rsidRPr="009F1B14">
              <w:rPr>
                <w:rFonts w:ascii="Times New Roman" w:hAnsi="Times New Roman"/>
                <w:color w:val="000000"/>
                <w:sz w:val="20"/>
                <w:szCs w:val="20"/>
              </w:rPr>
              <w:t>280</w:t>
            </w:r>
          </w:p>
        </w:tc>
        <w:tc>
          <w:tcPr>
            <w:tcW w:w="937" w:type="dxa"/>
            <w:gridSpan w:val="4"/>
            <w:shd w:val="clear" w:color="auto" w:fill="FFFFFF"/>
            <w:vAlign w:val="bottom"/>
          </w:tcPr>
          <w:p w14:paraId="4CDA93D5" w14:textId="5105542F" w:rsidR="00A10103" w:rsidRPr="009F1B14" w:rsidRDefault="00A10103" w:rsidP="00D75DD2">
            <w:pPr>
              <w:spacing w:line="240" w:lineRule="auto"/>
              <w:rPr>
                <w:rFonts w:ascii="Times New Roman" w:hAnsi="Times New Roman"/>
                <w:sz w:val="20"/>
                <w:szCs w:val="20"/>
              </w:rPr>
            </w:pPr>
            <w:r w:rsidRPr="009F1B14">
              <w:rPr>
                <w:rFonts w:ascii="Times New Roman" w:hAnsi="Times New Roman"/>
                <w:color w:val="000000"/>
                <w:sz w:val="20"/>
                <w:szCs w:val="20"/>
              </w:rPr>
              <w:t>277</w:t>
            </w:r>
          </w:p>
        </w:tc>
        <w:tc>
          <w:tcPr>
            <w:tcW w:w="938" w:type="dxa"/>
            <w:gridSpan w:val="3"/>
            <w:shd w:val="clear" w:color="auto" w:fill="FFFFFF"/>
          </w:tcPr>
          <w:p w14:paraId="1F4EF558" w14:textId="77777777" w:rsidR="00A10103" w:rsidRPr="009F1B14" w:rsidRDefault="00A10103" w:rsidP="00D75DD2">
            <w:pPr>
              <w:spacing w:line="240" w:lineRule="auto"/>
              <w:rPr>
                <w:rFonts w:ascii="Times New Roman" w:hAnsi="Times New Roman"/>
                <w:sz w:val="20"/>
                <w:szCs w:val="20"/>
              </w:rPr>
            </w:pPr>
          </w:p>
          <w:p w14:paraId="3326EE90" w14:textId="77777777" w:rsidR="00A10103" w:rsidRPr="009F1B14" w:rsidRDefault="00A10103" w:rsidP="00D75DD2">
            <w:pPr>
              <w:spacing w:line="240" w:lineRule="auto"/>
              <w:rPr>
                <w:rFonts w:ascii="Times New Roman" w:hAnsi="Times New Roman"/>
                <w:sz w:val="20"/>
                <w:szCs w:val="20"/>
              </w:rPr>
            </w:pPr>
          </w:p>
          <w:p w14:paraId="78664025" w14:textId="547B7547" w:rsidR="00A10103" w:rsidRPr="009F1B14" w:rsidRDefault="00A10103" w:rsidP="00D75DD2">
            <w:pPr>
              <w:spacing w:line="240" w:lineRule="auto"/>
              <w:rPr>
                <w:rFonts w:ascii="Times New Roman" w:hAnsi="Times New Roman"/>
                <w:sz w:val="20"/>
                <w:szCs w:val="20"/>
              </w:rPr>
            </w:pPr>
            <w:r w:rsidRPr="009F1B14">
              <w:rPr>
                <w:rFonts w:ascii="Times New Roman" w:hAnsi="Times New Roman"/>
                <w:sz w:val="20"/>
                <w:szCs w:val="20"/>
              </w:rPr>
              <w:t>282</w:t>
            </w:r>
          </w:p>
        </w:tc>
        <w:tc>
          <w:tcPr>
            <w:tcW w:w="938" w:type="dxa"/>
            <w:gridSpan w:val="4"/>
            <w:shd w:val="clear" w:color="auto" w:fill="FFFFFF"/>
          </w:tcPr>
          <w:p w14:paraId="0835EBA0" w14:textId="77777777" w:rsidR="00A10103" w:rsidRPr="009F1B14" w:rsidRDefault="00A10103" w:rsidP="00D75DD2">
            <w:pPr>
              <w:spacing w:line="240" w:lineRule="auto"/>
              <w:rPr>
                <w:rFonts w:ascii="Times New Roman" w:hAnsi="Times New Roman"/>
                <w:sz w:val="20"/>
                <w:szCs w:val="20"/>
              </w:rPr>
            </w:pPr>
          </w:p>
          <w:p w14:paraId="179D0D34" w14:textId="77777777" w:rsidR="00A10103" w:rsidRPr="009F1B14" w:rsidRDefault="00A10103" w:rsidP="00D75DD2">
            <w:pPr>
              <w:spacing w:line="240" w:lineRule="auto"/>
              <w:rPr>
                <w:rFonts w:ascii="Times New Roman" w:hAnsi="Times New Roman"/>
                <w:sz w:val="20"/>
                <w:szCs w:val="20"/>
              </w:rPr>
            </w:pPr>
          </w:p>
          <w:p w14:paraId="05B7CF9E" w14:textId="779AC9A0" w:rsidR="00A10103" w:rsidRPr="009F1B14" w:rsidRDefault="00A10103" w:rsidP="00D75DD2">
            <w:pPr>
              <w:spacing w:line="240" w:lineRule="auto"/>
              <w:rPr>
                <w:rFonts w:ascii="Times New Roman" w:hAnsi="Times New Roman"/>
                <w:sz w:val="20"/>
                <w:szCs w:val="20"/>
              </w:rPr>
            </w:pPr>
            <w:r w:rsidRPr="009F1B14">
              <w:rPr>
                <w:rFonts w:ascii="Times New Roman" w:hAnsi="Times New Roman"/>
                <w:sz w:val="20"/>
                <w:szCs w:val="20"/>
              </w:rPr>
              <w:t>325</w:t>
            </w:r>
          </w:p>
        </w:tc>
        <w:tc>
          <w:tcPr>
            <w:tcW w:w="1422" w:type="dxa"/>
            <w:shd w:val="clear" w:color="auto" w:fill="FFFFFF"/>
          </w:tcPr>
          <w:p w14:paraId="7F104094" w14:textId="77777777" w:rsidR="00A10103" w:rsidRPr="009F1B14" w:rsidRDefault="00A10103" w:rsidP="00D75DD2">
            <w:pPr>
              <w:spacing w:line="240" w:lineRule="auto"/>
              <w:rPr>
                <w:rFonts w:ascii="Times New Roman" w:hAnsi="Times New Roman"/>
                <w:spacing w:val="-2"/>
                <w:sz w:val="20"/>
                <w:szCs w:val="20"/>
              </w:rPr>
            </w:pPr>
          </w:p>
          <w:p w14:paraId="2D8A72EA" w14:textId="77777777" w:rsidR="00A10103" w:rsidRPr="009F1B14" w:rsidRDefault="00A10103" w:rsidP="00D75DD2">
            <w:pPr>
              <w:spacing w:line="240" w:lineRule="auto"/>
              <w:rPr>
                <w:rFonts w:ascii="Times New Roman" w:hAnsi="Times New Roman"/>
                <w:spacing w:val="-2"/>
                <w:sz w:val="20"/>
                <w:szCs w:val="20"/>
              </w:rPr>
            </w:pPr>
          </w:p>
          <w:p w14:paraId="77A4A3C2" w14:textId="33674C4E" w:rsidR="00A10103" w:rsidRPr="009F1B14" w:rsidRDefault="00A10103" w:rsidP="00D75DD2">
            <w:pPr>
              <w:spacing w:line="240" w:lineRule="auto"/>
              <w:rPr>
                <w:rFonts w:ascii="Times New Roman" w:hAnsi="Times New Roman"/>
                <w:spacing w:val="-2"/>
                <w:sz w:val="20"/>
                <w:szCs w:val="20"/>
              </w:rPr>
            </w:pPr>
            <w:r w:rsidRPr="009F1B14">
              <w:rPr>
                <w:rFonts w:ascii="Times New Roman" w:hAnsi="Times New Roman"/>
                <w:spacing w:val="-2"/>
                <w:sz w:val="20"/>
                <w:szCs w:val="20"/>
              </w:rPr>
              <w:t>3758</w:t>
            </w:r>
          </w:p>
        </w:tc>
      </w:tr>
      <w:tr w:rsidR="00E238FE" w:rsidRPr="002269DF" w14:paraId="7CC02254" w14:textId="77777777" w:rsidTr="00070C24">
        <w:trPr>
          <w:gridAfter w:val="1"/>
          <w:wAfter w:w="10" w:type="dxa"/>
          <w:trHeight w:val="142"/>
        </w:trPr>
        <w:tc>
          <w:tcPr>
            <w:tcW w:w="1596" w:type="dxa"/>
            <w:vMerge/>
            <w:shd w:val="clear" w:color="auto" w:fill="FFFFFF"/>
          </w:tcPr>
          <w:p w14:paraId="4DA8B8B8" w14:textId="77777777" w:rsidR="00E238FE" w:rsidRPr="002269DF" w:rsidRDefault="00E238FE" w:rsidP="00D75DD2">
            <w:pPr>
              <w:spacing w:line="240" w:lineRule="auto"/>
              <w:rPr>
                <w:rFonts w:ascii="Times New Roman" w:hAnsi="Times New Roman"/>
              </w:rPr>
            </w:pPr>
          </w:p>
        </w:tc>
        <w:tc>
          <w:tcPr>
            <w:tcW w:w="2293" w:type="dxa"/>
            <w:gridSpan w:val="6"/>
            <w:shd w:val="clear" w:color="auto" w:fill="FFFFFF"/>
          </w:tcPr>
          <w:p w14:paraId="5CC349B4" w14:textId="77777777" w:rsidR="00E238FE" w:rsidRPr="002269DF" w:rsidRDefault="00E238FE" w:rsidP="00D75DD2">
            <w:pPr>
              <w:spacing w:line="240" w:lineRule="auto"/>
              <w:rPr>
                <w:rFonts w:ascii="Times New Roman" w:hAnsi="Times New Roman"/>
              </w:rPr>
            </w:pPr>
            <w:r w:rsidRPr="002269DF">
              <w:rPr>
                <w:rFonts w:ascii="Times New Roman" w:hAnsi="Times New Roman"/>
              </w:rPr>
              <w:t>rodzina, obywatele oraz gospodarstwa domowe</w:t>
            </w:r>
          </w:p>
        </w:tc>
        <w:tc>
          <w:tcPr>
            <w:tcW w:w="937" w:type="dxa"/>
            <w:gridSpan w:val="2"/>
            <w:shd w:val="clear" w:color="auto" w:fill="FFFFFF"/>
          </w:tcPr>
          <w:p w14:paraId="4AEF6D95" w14:textId="77777777" w:rsidR="00E238FE" w:rsidRPr="002269DF" w:rsidRDefault="00E238FE" w:rsidP="00D75DD2">
            <w:pPr>
              <w:spacing w:line="240" w:lineRule="auto"/>
              <w:rPr>
                <w:rFonts w:ascii="Times New Roman" w:hAnsi="Times New Roman"/>
              </w:rPr>
            </w:pPr>
          </w:p>
        </w:tc>
        <w:tc>
          <w:tcPr>
            <w:tcW w:w="938" w:type="dxa"/>
            <w:gridSpan w:val="4"/>
            <w:shd w:val="clear" w:color="auto" w:fill="FFFFFF"/>
          </w:tcPr>
          <w:p w14:paraId="5E4BDC3F" w14:textId="77777777" w:rsidR="00E238FE" w:rsidRPr="002269DF" w:rsidRDefault="00E238FE" w:rsidP="00D75DD2">
            <w:pPr>
              <w:spacing w:line="240" w:lineRule="auto"/>
              <w:rPr>
                <w:rFonts w:ascii="Times New Roman" w:hAnsi="Times New Roman"/>
              </w:rPr>
            </w:pPr>
          </w:p>
        </w:tc>
        <w:tc>
          <w:tcPr>
            <w:tcW w:w="938" w:type="dxa"/>
            <w:gridSpan w:val="4"/>
            <w:shd w:val="clear" w:color="auto" w:fill="FFFFFF"/>
          </w:tcPr>
          <w:p w14:paraId="1F4D450A" w14:textId="77777777" w:rsidR="00E238FE" w:rsidRPr="002269DF" w:rsidRDefault="00E238FE" w:rsidP="00D75DD2">
            <w:pPr>
              <w:spacing w:line="240" w:lineRule="auto"/>
              <w:rPr>
                <w:rFonts w:ascii="Times New Roman" w:hAnsi="Times New Roman"/>
              </w:rPr>
            </w:pPr>
          </w:p>
        </w:tc>
        <w:tc>
          <w:tcPr>
            <w:tcW w:w="937" w:type="dxa"/>
            <w:gridSpan w:val="4"/>
            <w:shd w:val="clear" w:color="auto" w:fill="FFFFFF"/>
          </w:tcPr>
          <w:p w14:paraId="725E568A" w14:textId="77777777" w:rsidR="00E238FE" w:rsidRPr="002269DF" w:rsidRDefault="00E238FE" w:rsidP="00D75DD2">
            <w:pPr>
              <w:spacing w:line="240" w:lineRule="auto"/>
              <w:rPr>
                <w:rFonts w:ascii="Times New Roman" w:hAnsi="Times New Roman"/>
              </w:rPr>
            </w:pPr>
          </w:p>
        </w:tc>
        <w:tc>
          <w:tcPr>
            <w:tcW w:w="938" w:type="dxa"/>
            <w:gridSpan w:val="3"/>
            <w:shd w:val="clear" w:color="auto" w:fill="FFFFFF"/>
          </w:tcPr>
          <w:p w14:paraId="282AD808" w14:textId="77777777" w:rsidR="00E238FE" w:rsidRPr="002269DF" w:rsidRDefault="00E238FE" w:rsidP="00D75DD2">
            <w:pPr>
              <w:spacing w:line="240" w:lineRule="auto"/>
              <w:rPr>
                <w:rFonts w:ascii="Times New Roman" w:hAnsi="Times New Roman"/>
              </w:rPr>
            </w:pPr>
          </w:p>
        </w:tc>
        <w:tc>
          <w:tcPr>
            <w:tcW w:w="938" w:type="dxa"/>
            <w:gridSpan w:val="4"/>
            <w:shd w:val="clear" w:color="auto" w:fill="FFFFFF"/>
          </w:tcPr>
          <w:p w14:paraId="0EAE73F7" w14:textId="77777777" w:rsidR="00E238FE" w:rsidRPr="002269DF" w:rsidRDefault="00E238FE" w:rsidP="00D75DD2">
            <w:pPr>
              <w:spacing w:line="240" w:lineRule="auto"/>
              <w:rPr>
                <w:rFonts w:ascii="Times New Roman" w:hAnsi="Times New Roman"/>
              </w:rPr>
            </w:pPr>
          </w:p>
        </w:tc>
        <w:tc>
          <w:tcPr>
            <w:tcW w:w="1422" w:type="dxa"/>
            <w:shd w:val="clear" w:color="auto" w:fill="FFFFFF"/>
          </w:tcPr>
          <w:p w14:paraId="55A38207" w14:textId="77777777" w:rsidR="00E238FE" w:rsidRPr="002269DF" w:rsidRDefault="00E238FE" w:rsidP="00D75DD2">
            <w:pPr>
              <w:spacing w:line="240" w:lineRule="auto"/>
              <w:rPr>
                <w:rFonts w:ascii="Times New Roman" w:hAnsi="Times New Roman"/>
                <w:spacing w:val="-2"/>
              </w:rPr>
            </w:pPr>
          </w:p>
        </w:tc>
      </w:tr>
      <w:tr w:rsidR="00E238FE" w:rsidRPr="002269DF" w14:paraId="20471D57" w14:textId="77777777" w:rsidTr="00676C8D">
        <w:trPr>
          <w:gridAfter w:val="1"/>
          <w:wAfter w:w="10" w:type="dxa"/>
          <w:trHeight w:val="142"/>
        </w:trPr>
        <w:tc>
          <w:tcPr>
            <w:tcW w:w="1596" w:type="dxa"/>
            <w:vMerge w:val="restart"/>
            <w:shd w:val="clear" w:color="auto" w:fill="FFFFFF"/>
          </w:tcPr>
          <w:p w14:paraId="71F1DDE9" w14:textId="77777777" w:rsidR="00E238FE" w:rsidRPr="002269DF" w:rsidRDefault="00E238FE" w:rsidP="00D75DD2">
            <w:pPr>
              <w:spacing w:line="240" w:lineRule="auto"/>
              <w:rPr>
                <w:rFonts w:ascii="Times New Roman" w:hAnsi="Times New Roman"/>
              </w:rPr>
            </w:pPr>
            <w:r w:rsidRPr="002269DF">
              <w:rPr>
                <w:rFonts w:ascii="Times New Roman" w:hAnsi="Times New Roman"/>
              </w:rPr>
              <w:t>W ujęciu niepieniężnym</w:t>
            </w:r>
          </w:p>
        </w:tc>
        <w:tc>
          <w:tcPr>
            <w:tcW w:w="2293" w:type="dxa"/>
            <w:gridSpan w:val="6"/>
            <w:shd w:val="clear" w:color="auto" w:fill="FFFFFF"/>
          </w:tcPr>
          <w:p w14:paraId="66DB14F9" w14:textId="77777777" w:rsidR="00E238FE" w:rsidRPr="002269DF" w:rsidRDefault="00E238FE" w:rsidP="00D75DD2">
            <w:pPr>
              <w:spacing w:line="240" w:lineRule="auto"/>
              <w:rPr>
                <w:rFonts w:ascii="Times New Roman" w:hAnsi="Times New Roman"/>
              </w:rPr>
            </w:pPr>
            <w:r w:rsidRPr="002269DF">
              <w:rPr>
                <w:rFonts w:ascii="Times New Roman" w:hAnsi="Times New Roman"/>
              </w:rPr>
              <w:t>duże przedsiębiorstwa</w:t>
            </w:r>
          </w:p>
        </w:tc>
        <w:tc>
          <w:tcPr>
            <w:tcW w:w="7048" w:type="dxa"/>
            <w:gridSpan w:val="22"/>
            <w:shd w:val="clear" w:color="auto" w:fill="FFFFFF"/>
          </w:tcPr>
          <w:p w14:paraId="7DC092DC" w14:textId="15DD256D" w:rsidR="00E238FE" w:rsidRPr="002269DF" w:rsidRDefault="00E238FE" w:rsidP="004C3273">
            <w:pPr>
              <w:spacing w:before="120" w:line="240" w:lineRule="auto"/>
              <w:jc w:val="both"/>
              <w:rPr>
                <w:rFonts w:ascii="Times New Roman" w:hAnsi="Times New Roman"/>
                <w:color w:val="000000"/>
                <w:spacing w:val="-2"/>
              </w:rPr>
            </w:pPr>
            <w:r w:rsidRPr="002269DF">
              <w:rPr>
                <w:rFonts w:ascii="Times New Roman" w:hAnsi="Times New Roman"/>
                <w:spacing w:val="-2"/>
              </w:rPr>
              <w:t>Projekt zawiera rozwiązania koncentrujące się przede wszystkim na</w:t>
            </w:r>
            <w:r w:rsidR="009060D1">
              <w:rPr>
                <w:rFonts w:ascii="Times New Roman" w:hAnsi="Times New Roman"/>
                <w:spacing w:val="-2"/>
              </w:rPr>
              <w:t> </w:t>
            </w:r>
            <w:r w:rsidRPr="002269DF">
              <w:rPr>
                <w:rFonts w:ascii="Times New Roman" w:hAnsi="Times New Roman"/>
                <w:spacing w:val="-2"/>
              </w:rPr>
              <w:t>rozwiązaniu problemów mikro, małych i średnich przedsiębiorstw, gdyż to wszelkie obciążenia biurokratyczne proporcjonalnie w większym stopniu je</w:t>
            </w:r>
            <w:r w:rsidR="009060D1">
              <w:rPr>
                <w:rFonts w:ascii="Times New Roman" w:hAnsi="Times New Roman"/>
                <w:spacing w:val="-2"/>
              </w:rPr>
              <w:t> </w:t>
            </w:r>
            <w:r w:rsidRPr="002269DF">
              <w:rPr>
                <w:rFonts w:ascii="Times New Roman" w:hAnsi="Times New Roman"/>
                <w:spacing w:val="-2"/>
              </w:rPr>
              <w:t xml:space="preserve">obciążają niż duże przedsiębiorstwa. Niemniej jednak część rozwiązań powinna pozytywnie oddziaływać również na duże przedsiębiorstwa, np. </w:t>
            </w:r>
            <w:r w:rsidRPr="002269DF">
              <w:rPr>
                <w:rFonts w:ascii="Times New Roman" w:hAnsi="Times New Roman"/>
              </w:rPr>
              <w:t>ograniczenie sytuacji, w których terminy zapłaty ustalane przez podmioty publiczne na rzecz przedsiębiorców przekraczają 30 dni;</w:t>
            </w:r>
            <w:r w:rsidR="00C1021A" w:rsidRPr="002269DF">
              <w:rPr>
                <w:rFonts w:ascii="Times New Roman" w:hAnsi="Times New Roman"/>
              </w:rPr>
              <w:t xml:space="preserve"> poprawa płynności finansowej dzięki zwolnieniu z podatku kwot odszkodowań przeznaczonych na odtworzenie środków trwałych, które uległy zniszczeniu;</w:t>
            </w:r>
            <w:r w:rsidRPr="002269DF">
              <w:rPr>
                <w:rFonts w:ascii="Times New Roman" w:hAnsi="Times New Roman"/>
              </w:rPr>
              <w:t xml:space="preserve"> określenia jednolitych wzorów formularzy deklaracji i informacji na podatki: od</w:t>
            </w:r>
            <w:r w:rsidR="009060D1">
              <w:rPr>
                <w:rFonts w:ascii="Times New Roman" w:hAnsi="Times New Roman"/>
              </w:rPr>
              <w:t> </w:t>
            </w:r>
            <w:r w:rsidRPr="002269DF">
              <w:rPr>
                <w:rFonts w:ascii="Times New Roman" w:hAnsi="Times New Roman"/>
              </w:rPr>
              <w:t>nieruchomości, rolny i leśny, oraz umożliwien</w:t>
            </w:r>
            <w:r w:rsidR="00FF10E7">
              <w:rPr>
                <w:rFonts w:ascii="Times New Roman" w:hAnsi="Times New Roman"/>
              </w:rPr>
              <w:t>ie powszechnego składania</w:t>
            </w:r>
            <w:r w:rsidRPr="002269DF">
              <w:rPr>
                <w:rFonts w:ascii="Times New Roman" w:hAnsi="Times New Roman"/>
              </w:rPr>
              <w:t xml:space="preserve"> formularzy dotyczących podatków i opłat lokalnych w drodze elektronicznej.</w:t>
            </w:r>
          </w:p>
          <w:p w14:paraId="5FCEEC2B" w14:textId="77777777" w:rsidR="00E238FE" w:rsidRPr="002269DF" w:rsidRDefault="00E238FE" w:rsidP="004C3273">
            <w:pPr>
              <w:spacing w:line="240" w:lineRule="auto"/>
              <w:jc w:val="both"/>
              <w:rPr>
                <w:rFonts w:ascii="Times New Roman" w:hAnsi="Times New Roman"/>
                <w:spacing w:val="-2"/>
              </w:rPr>
            </w:pPr>
            <w:r w:rsidRPr="002269DF">
              <w:rPr>
                <w:rFonts w:ascii="Times New Roman" w:hAnsi="Times New Roman"/>
                <w:spacing w:val="-2"/>
              </w:rPr>
              <w:t xml:space="preserve"> </w:t>
            </w:r>
          </w:p>
        </w:tc>
      </w:tr>
      <w:tr w:rsidR="00E238FE" w:rsidRPr="002269DF" w14:paraId="02A485BF" w14:textId="77777777" w:rsidTr="00676C8D">
        <w:trPr>
          <w:gridAfter w:val="1"/>
          <w:wAfter w:w="10" w:type="dxa"/>
          <w:trHeight w:val="142"/>
        </w:trPr>
        <w:tc>
          <w:tcPr>
            <w:tcW w:w="1596" w:type="dxa"/>
            <w:vMerge/>
            <w:shd w:val="clear" w:color="auto" w:fill="FFFFFF"/>
          </w:tcPr>
          <w:p w14:paraId="633D65C6" w14:textId="77777777" w:rsidR="00E238FE" w:rsidRPr="002269DF" w:rsidRDefault="00E238FE" w:rsidP="00D75DD2">
            <w:pPr>
              <w:spacing w:line="240" w:lineRule="auto"/>
              <w:rPr>
                <w:rFonts w:ascii="Times New Roman" w:hAnsi="Times New Roman"/>
              </w:rPr>
            </w:pPr>
          </w:p>
        </w:tc>
        <w:tc>
          <w:tcPr>
            <w:tcW w:w="2293" w:type="dxa"/>
            <w:gridSpan w:val="6"/>
            <w:shd w:val="clear" w:color="auto" w:fill="FFFFFF"/>
          </w:tcPr>
          <w:p w14:paraId="45764E99" w14:textId="77777777" w:rsidR="00E238FE" w:rsidRPr="002269DF" w:rsidRDefault="00E238FE" w:rsidP="00D75DD2">
            <w:pPr>
              <w:spacing w:line="240" w:lineRule="auto"/>
              <w:rPr>
                <w:rFonts w:ascii="Times New Roman" w:hAnsi="Times New Roman"/>
              </w:rPr>
            </w:pPr>
            <w:r w:rsidRPr="002269DF">
              <w:rPr>
                <w:rFonts w:ascii="Times New Roman" w:hAnsi="Times New Roman"/>
              </w:rPr>
              <w:t>sektor mikro-, małych i średnich przedsiębiorstw</w:t>
            </w:r>
          </w:p>
        </w:tc>
        <w:tc>
          <w:tcPr>
            <w:tcW w:w="7048" w:type="dxa"/>
            <w:gridSpan w:val="22"/>
            <w:shd w:val="clear" w:color="auto" w:fill="FFFFFF"/>
          </w:tcPr>
          <w:p w14:paraId="66B20C1C" w14:textId="77777777" w:rsidR="00E238FE" w:rsidRPr="002269DF" w:rsidRDefault="00E238FE" w:rsidP="00664D1C">
            <w:pPr>
              <w:spacing w:before="120" w:line="240" w:lineRule="auto"/>
              <w:jc w:val="both"/>
              <w:rPr>
                <w:rFonts w:ascii="Times New Roman" w:hAnsi="Times New Roman"/>
                <w:color w:val="000000"/>
                <w:spacing w:val="-2"/>
              </w:rPr>
            </w:pPr>
            <w:r w:rsidRPr="002269DF">
              <w:rPr>
                <w:rFonts w:ascii="Times New Roman" w:hAnsi="Times New Roman"/>
                <w:color w:val="000000"/>
                <w:spacing w:val="-2"/>
              </w:rPr>
              <w:t>Zmniejszenie obowiązków informacyjnych i dokumentacyjnych powinno prowadzić do zmniejszenia nakładu czasu i środków na wypełnianie obowiązków podatkowych bez negatywnego wpływu na poprawność rozliczeń.</w:t>
            </w:r>
          </w:p>
          <w:p w14:paraId="578787C8" w14:textId="7CF9F51A" w:rsidR="00E238FE" w:rsidRPr="002269DF" w:rsidRDefault="00E238FE" w:rsidP="00664D1C">
            <w:pPr>
              <w:spacing w:before="120" w:line="240" w:lineRule="auto"/>
              <w:jc w:val="both"/>
              <w:rPr>
                <w:rFonts w:ascii="Times New Roman" w:hAnsi="Times New Roman"/>
                <w:color w:val="000000"/>
                <w:spacing w:val="-2"/>
              </w:rPr>
            </w:pPr>
            <w:r w:rsidRPr="002269DF">
              <w:rPr>
                <w:rFonts w:ascii="Times New Roman" w:hAnsi="Times New Roman"/>
                <w:color w:val="000000"/>
                <w:spacing w:val="-2"/>
              </w:rPr>
              <w:t>Zwiększenie liczby przedsiębiorców, którzy będą uprawnieni do korzystania z</w:t>
            </w:r>
            <w:r w:rsidR="009060D1">
              <w:rPr>
                <w:rFonts w:ascii="Times New Roman" w:hAnsi="Times New Roman"/>
                <w:color w:val="000000"/>
                <w:spacing w:val="-2"/>
              </w:rPr>
              <w:t> </w:t>
            </w:r>
            <w:r w:rsidRPr="002269DF">
              <w:rPr>
                <w:rFonts w:ascii="Times New Roman" w:hAnsi="Times New Roman"/>
                <w:color w:val="000000"/>
                <w:spacing w:val="-2"/>
              </w:rPr>
              <w:t>preferencyjnych rozwiązań dostępnych dla „małych podatników” poprzez zwiększenie limitu przychodów uprawniającego do uzyskania statusu „małego podatnika”. Szacunkowo kilkanaście tysięcy przedsiębiorców więcej będzie mogło skorzystać z udogodnień w zakresie podatku dochodowego (możliwość skorzystania z jednorazowej amortyzacji; prawo kwartalnego wpłacania zaliczek oraz możliwość skorzystania z obniżonej 15% stawki podatku w</w:t>
            </w:r>
            <w:r w:rsidR="009060D1">
              <w:rPr>
                <w:rFonts w:ascii="Times New Roman" w:hAnsi="Times New Roman"/>
                <w:color w:val="000000"/>
                <w:spacing w:val="-2"/>
              </w:rPr>
              <w:t> </w:t>
            </w:r>
            <w:r w:rsidRPr="002269DF">
              <w:rPr>
                <w:rFonts w:ascii="Times New Roman" w:hAnsi="Times New Roman"/>
                <w:color w:val="000000"/>
                <w:spacing w:val="-2"/>
              </w:rPr>
              <w:t>przypadku CIT).</w:t>
            </w:r>
          </w:p>
          <w:p w14:paraId="0570D5EE" w14:textId="77777777" w:rsidR="00C1021A" w:rsidRPr="002269DF" w:rsidRDefault="00E238FE" w:rsidP="00664D1C">
            <w:pPr>
              <w:spacing w:before="120" w:line="240" w:lineRule="auto"/>
              <w:jc w:val="both"/>
              <w:rPr>
                <w:rFonts w:ascii="Times New Roman" w:hAnsi="Times New Roman"/>
              </w:rPr>
            </w:pPr>
            <w:r w:rsidRPr="002269DF">
              <w:rPr>
                <w:rFonts w:ascii="Times New Roman" w:hAnsi="Times New Roman"/>
              </w:rPr>
              <w:t>Poprawa płynności finansowej przedsiębiorców i zmniejszenie zatorów płatniczych poprzez</w:t>
            </w:r>
            <w:r w:rsidR="00C1021A" w:rsidRPr="002269DF">
              <w:rPr>
                <w:rFonts w:ascii="Times New Roman" w:hAnsi="Times New Roman"/>
              </w:rPr>
              <w:t>:</w:t>
            </w:r>
          </w:p>
          <w:p w14:paraId="54CBCFDF" w14:textId="77777777" w:rsidR="00C1021A" w:rsidRPr="002269DF" w:rsidRDefault="00C1021A" w:rsidP="00664D1C">
            <w:pPr>
              <w:spacing w:before="120" w:line="240" w:lineRule="auto"/>
              <w:jc w:val="both"/>
              <w:rPr>
                <w:rFonts w:ascii="Times New Roman" w:hAnsi="Times New Roman"/>
              </w:rPr>
            </w:pPr>
            <w:r w:rsidRPr="002269DF">
              <w:rPr>
                <w:rFonts w:ascii="Times New Roman" w:hAnsi="Times New Roman"/>
              </w:rPr>
              <w:t>-</w:t>
            </w:r>
            <w:r w:rsidR="00E238FE" w:rsidRPr="002269DF">
              <w:rPr>
                <w:rFonts w:ascii="Times New Roman" w:hAnsi="Times New Roman"/>
              </w:rPr>
              <w:t xml:space="preserve"> ograniczenie sytuacji, w których terminy zapłaty ustalane przez podmioty publiczne na rzecz przedsiębiorców przekraczają 30 dni, </w:t>
            </w:r>
          </w:p>
          <w:p w14:paraId="29F271A2" w14:textId="682F970D" w:rsidR="00C1021A" w:rsidRPr="002269DF" w:rsidRDefault="00C1021A" w:rsidP="00664D1C">
            <w:pPr>
              <w:spacing w:before="120" w:line="240" w:lineRule="auto"/>
              <w:jc w:val="both"/>
              <w:rPr>
                <w:rFonts w:ascii="Times New Roman" w:hAnsi="Times New Roman"/>
                <w:highlight w:val="yellow"/>
              </w:rPr>
            </w:pPr>
            <w:r w:rsidRPr="002269DF">
              <w:rPr>
                <w:rFonts w:ascii="Times New Roman" w:hAnsi="Times New Roman"/>
              </w:rPr>
              <w:t xml:space="preserve">- </w:t>
            </w:r>
            <w:r w:rsidR="00E238FE" w:rsidRPr="002269DF">
              <w:rPr>
                <w:rFonts w:ascii="Times New Roman" w:hAnsi="Times New Roman"/>
              </w:rPr>
              <w:t>wprowadzenie możliwości jednorazowego rozliczenia straty podatkowej do</w:t>
            </w:r>
            <w:r w:rsidR="009060D1">
              <w:rPr>
                <w:rFonts w:ascii="Times New Roman" w:hAnsi="Times New Roman"/>
              </w:rPr>
              <w:t> </w:t>
            </w:r>
            <w:r w:rsidR="00E238FE" w:rsidRPr="002269DF">
              <w:rPr>
                <w:rFonts w:ascii="Times New Roman" w:hAnsi="Times New Roman"/>
              </w:rPr>
              <w:t>wysokości 5 mln zł w ramach rozliczenia podatku dochodowego</w:t>
            </w:r>
            <w:r w:rsidRPr="002269DF">
              <w:rPr>
                <w:rFonts w:ascii="Times New Roman" w:hAnsi="Times New Roman"/>
              </w:rPr>
              <w:t xml:space="preserve"> </w:t>
            </w:r>
          </w:p>
          <w:p w14:paraId="54FE229A" w14:textId="77777777" w:rsidR="00E238FE" w:rsidRPr="002269DF" w:rsidRDefault="00C1021A" w:rsidP="00664D1C">
            <w:pPr>
              <w:spacing w:before="120" w:line="240" w:lineRule="auto"/>
              <w:jc w:val="both"/>
              <w:rPr>
                <w:rFonts w:ascii="Times New Roman" w:hAnsi="Times New Roman"/>
                <w:color w:val="000000"/>
                <w:spacing w:val="-2"/>
              </w:rPr>
            </w:pPr>
            <w:r w:rsidRPr="002269DF">
              <w:rPr>
                <w:rFonts w:ascii="Times New Roman" w:hAnsi="Times New Roman"/>
              </w:rPr>
              <w:t>- zwolnienie z podatku kwot odszkodowań przeznaczonych na odtworzenie środków trwałych, które uległy zniszczeniu</w:t>
            </w:r>
            <w:r w:rsidR="00E238FE" w:rsidRPr="002269DF">
              <w:rPr>
                <w:rFonts w:ascii="Times New Roman" w:hAnsi="Times New Roman"/>
              </w:rPr>
              <w:t xml:space="preserve">. </w:t>
            </w:r>
            <w:r w:rsidR="00E238FE" w:rsidRPr="002269DF">
              <w:rPr>
                <w:rFonts w:ascii="Times New Roman" w:hAnsi="Times New Roman"/>
                <w:color w:val="000000"/>
                <w:spacing w:val="-2"/>
              </w:rPr>
              <w:t xml:space="preserve"> </w:t>
            </w:r>
          </w:p>
          <w:p w14:paraId="3482441D" w14:textId="77777777" w:rsidR="00E238FE" w:rsidRPr="002269DF" w:rsidRDefault="00E238FE" w:rsidP="00664D1C">
            <w:pPr>
              <w:spacing w:before="120" w:line="240" w:lineRule="auto"/>
              <w:jc w:val="both"/>
              <w:rPr>
                <w:rFonts w:ascii="Times New Roman" w:hAnsi="Times New Roman"/>
                <w:spacing w:val="-2"/>
              </w:rPr>
            </w:pPr>
            <w:r w:rsidRPr="002269DF">
              <w:rPr>
                <w:rFonts w:ascii="Times New Roman" w:hAnsi="Times New Roman"/>
                <w:spacing w:val="-2"/>
              </w:rPr>
              <w:t xml:space="preserve">Natomiast zmiana polegająca na zastąpieniu stosowanych w ustawie o podatku akcyzowym oraz w aktach wykonawczych do tej ustawy kodów Nomenklatury Scalonej (CN) – kodami CN stosowanymi zgodnie </w:t>
            </w:r>
            <w:r w:rsidRPr="002269DF">
              <w:rPr>
                <w:rFonts w:ascii="Times New Roman" w:hAnsi="Times New Roman"/>
                <w:spacing w:val="-2"/>
              </w:rPr>
              <w:br/>
              <w:t>z obowiązującymi regulacjami prawa celnego w tym zakresie zapewnieni jednolitość i spójność w zakresie kodów CN zawartych w przepisach prawa akcyzowego i celnego.</w:t>
            </w:r>
          </w:p>
          <w:p w14:paraId="1F9B0A0D" w14:textId="1A55EEB8" w:rsidR="00E238FE" w:rsidRPr="002269DF" w:rsidRDefault="00E238FE" w:rsidP="00664D1C">
            <w:pPr>
              <w:spacing w:before="120" w:line="240" w:lineRule="auto"/>
              <w:jc w:val="both"/>
              <w:rPr>
                <w:rFonts w:ascii="Times New Roman" w:hAnsi="Times New Roman"/>
              </w:rPr>
            </w:pPr>
            <w:r w:rsidRPr="00195577">
              <w:rPr>
                <w:rFonts w:ascii="Times New Roman" w:hAnsi="Times New Roman"/>
                <w:color w:val="000000"/>
                <w:lang w:eastAsia="pl-PL"/>
              </w:rPr>
              <w:t>W zakresie administrowania obrotem - zniesienie</w:t>
            </w:r>
            <w:r w:rsidRPr="002269DF">
              <w:rPr>
                <w:rFonts w:ascii="Times New Roman" w:hAnsi="Times New Roman"/>
                <w:color w:val="000000"/>
                <w:lang w:eastAsia="pl-PL"/>
              </w:rPr>
              <w:t xml:space="preserve"> obowiązku przedkładania tłumaczeń dokumentów załączonych do wniosku i obowiązku przedkładania każdorazowo dokumentów pełnomocnictwa przyczyni się do oszczędności czasu i środków finansowych. Przedsiębiorcy niekiedy składają po kilka - kilkanaście wniosków dziennie (np. o wydanie dokumentów nadzoru na</w:t>
            </w:r>
            <w:r w:rsidR="009060D1">
              <w:rPr>
                <w:rFonts w:ascii="Times New Roman" w:hAnsi="Times New Roman"/>
                <w:color w:val="000000"/>
                <w:lang w:eastAsia="pl-PL"/>
              </w:rPr>
              <w:t> </w:t>
            </w:r>
            <w:r w:rsidRPr="002269DF">
              <w:rPr>
                <w:rFonts w:ascii="Times New Roman" w:hAnsi="Times New Roman"/>
                <w:color w:val="000000"/>
                <w:lang w:eastAsia="pl-PL"/>
              </w:rPr>
              <w:t xml:space="preserve">przywóz wyrobów stalowych). Ze względu na wprowadzenie fakultatywności żądania przez organ dołączenia do akt sprawy dokumentów, rzeczywiste oszczędności dla przedsiębiorców są trudne do oszacowaniu.   </w:t>
            </w:r>
          </w:p>
          <w:p w14:paraId="19DD5098" w14:textId="77777777" w:rsidR="00E238FE" w:rsidRPr="002269DF" w:rsidRDefault="00E238FE" w:rsidP="00A227A7">
            <w:pPr>
              <w:spacing w:before="120" w:line="240" w:lineRule="auto"/>
              <w:jc w:val="both"/>
              <w:rPr>
                <w:rFonts w:ascii="Times New Roman" w:hAnsi="Times New Roman"/>
                <w:color w:val="000000"/>
              </w:rPr>
            </w:pPr>
            <w:r w:rsidRPr="002269DF">
              <w:rPr>
                <w:rFonts w:ascii="Times New Roman" w:hAnsi="Times New Roman"/>
                <w:color w:val="000000"/>
              </w:rPr>
              <w:t>Skutki w zakresie zmian przepisów ustawy o rachunkowości: uproszczenia</w:t>
            </w:r>
          </w:p>
          <w:p w14:paraId="5A698FB7" w14:textId="77777777" w:rsidR="00E238FE" w:rsidRPr="002269DF" w:rsidRDefault="00E238FE" w:rsidP="00ED445F">
            <w:pPr>
              <w:spacing w:line="240" w:lineRule="auto"/>
              <w:jc w:val="both"/>
              <w:rPr>
                <w:rFonts w:ascii="Times New Roman" w:hAnsi="Times New Roman"/>
                <w:color w:val="000000"/>
              </w:rPr>
            </w:pPr>
            <w:r w:rsidRPr="002269DF">
              <w:rPr>
                <w:rFonts w:ascii="Times New Roman" w:hAnsi="Times New Roman"/>
                <w:color w:val="000000"/>
              </w:rPr>
              <w:t>przy prowadzeniu ksiąg rachunkowych, zmniejszenie obciążeń sprawozdawczych oraz obciążeń w zakresie przechowywania sprawozdań</w:t>
            </w:r>
          </w:p>
          <w:p w14:paraId="1EBB37AC" w14:textId="77777777" w:rsidR="00E238FE" w:rsidRPr="002269DF" w:rsidRDefault="00E238FE" w:rsidP="007B0161">
            <w:pPr>
              <w:spacing w:after="120" w:line="240" w:lineRule="auto"/>
              <w:jc w:val="both"/>
              <w:rPr>
                <w:rFonts w:ascii="Times New Roman" w:hAnsi="Times New Roman"/>
                <w:color w:val="000000"/>
              </w:rPr>
            </w:pPr>
            <w:r w:rsidRPr="002269DF">
              <w:rPr>
                <w:rFonts w:ascii="Times New Roman" w:hAnsi="Times New Roman"/>
                <w:color w:val="000000"/>
              </w:rPr>
              <w:t>finansowych.</w:t>
            </w:r>
          </w:p>
          <w:p w14:paraId="0F53934F" w14:textId="26ADA089" w:rsidR="00E238FE" w:rsidRPr="002269DF" w:rsidRDefault="00E238FE" w:rsidP="007B0161">
            <w:pPr>
              <w:spacing w:after="120" w:line="240" w:lineRule="auto"/>
              <w:jc w:val="both"/>
              <w:rPr>
                <w:rFonts w:ascii="Times New Roman" w:hAnsi="Times New Roman"/>
                <w:color w:val="000000"/>
              </w:rPr>
            </w:pPr>
            <w:r w:rsidRPr="002269DF">
              <w:rPr>
                <w:rFonts w:ascii="Times New Roman" w:hAnsi="Times New Roman"/>
                <w:color w:val="000000"/>
              </w:rPr>
              <w:t>Jednoznaczne uregulowanie spornych kwestii prawnych, występujących w procesie prowadzenia działalności w formie spółki handlowej, pozwoli na</w:t>
            </w:r>
            <w:r w:rsidR="009060D1">
              <w:rPr>
                <w:rFonts w:ascii="Times New Roman" w:hAnsi="Times New Roman"/>
                <w:color w:val="000000"/>
              </w:rPr>
              <w:t> </w:t>
            </w:r>
            <w:r w:rsidRPr="002269DF">
              <w:rPr>
                <w:rFonts w:ascii="Times New Roman" w:hAnsi="Times New Roman"/>
                <w:color w:val="000000"/>
              </w:rPr>
              <w:t xml:space="preserve">szybsze podejmowanie decyzji gospodarczych, eliminując w dużym stopniu ryzyko prawne wynikające min. z potencjalnego sporu sądowego oraz ograniczy konieczność przeznaczania środków pieniężnych na obsługę prawną. </w:t>
            </w:r>
          </w:p>
          <w:p w14:paraId="1446FEAA" w14:textId="3B92EB98" w:rsidR="00E238FE" w:rsidRPr="002269DF" w:rsidRDefault="00E238FE" w:rsidP="00DD4A97">
            <w:pPr>
              <w:spacing w:line="240" w:lineRule="auto"/>
              <w:jc w:val="both"/>
              <w:rPr>
                <w:rFonts w:ascii="Times New Roman" w:hAnsi="Times New Roman"/>
                <w:color w:val="000000"/>
              </w:rPr>
            </w:pPr>
            <w:r w:rsidRPr="002269DF">
              <w:rPr>
                <w:rFonts w:ascii="Times New Roman" w:hAnsi="Times New Roman"/>
                <w:color w:val="000000"/>
              </w:rPr>
              <w:t xml:space="preserve">Propozycja zmiany przepisów w zakresie poszerzenia możliwości pełnienia zadań służby bhp przez pracodawcę zatrudniającego do 50 pracowników –z obecnego limitu zatrudnienia do 20 pracowników, umożliwi  dokonanie przez pracodawcę najbardziej optymalnego wyboru dotyczącego wyznaczenia osoby wykonującej zadania służby bhp. Obecnie pracodawca zatrudniający powyżej 20 pracowników zobowiązany jest powierzyć wykonywanie zadań służby bhp pracownikowi zatrudnionemu przy innej pracy lub specjaliście spoza zakładu pracy. Zmiana będzie skutkować bardziej efektywnym wykorzystaniem zasobów kadrowych w małych przedsiębiorstwach, a tym samym zwiększy ich konkurencyjność. Zmiana limitu z 20 pracowników do 50 w obu przypadkach dotyczy pracodawców zakwalifikowanych do grupy działalności, dla której ustalono nie wyższą </w:t>
            </w:r>
            <w:r w:rsidRPr="002269DF">
              <w:rPr>
                <w:rFonts w:ascii="Times New Roman" w:hAnsi="Times New Roman"/>
                <w:color w:val="000000"/>
              </w:rPr>
              <w:lastRenderedPageBreak/>
              <w:t>niż</w:t>
            </w:r>
            <w:r w:rsidR="00DD4A97">
              <w:rPr>
                <w:rFonts w:ascii="Times New Roman" w:hAnsi="Times New Roman"/>
                <w:color w:val="000000"/>
              </w:rPr>
              <w:t> </w:t>
            </w:r>
            <w:r w:rsidRPr="002269DF">
              <w:rPr>
                <w:rFonts w:ascii="Times New Roman" w:hAnsi="Times New Roman"/>
                <w:color w:val="000000"/>
              </w:rPr>
              <w:t>trzecią kategorię ryzyka w rozumieniu przepisów o ubezpieczeniu społecznym. Zmiana przepisów skierowana jest do grup działalności o najniższych wskaźnikach wypadkowości i najmniej szkodliwych czynnikach dla zdrowia.</w:t>
            </w:r>
          </w:p>
        </w:tc>
      </w:tr>
      <w:tr w:rsidR="00E238FE" w:rsidRPr="002269DF" w14:paraId="0118AAFF" w14:textId="77777777" w:rsidTr="00676C8D">
        <w:trPr>
          <w:gridAfter w:val="1"/>
          <w:wAfter w:w="10" w:type="dxa"/>
          <w:trHeight w:val="596"/>
        </w:trPr>
        <w:tc>
          <w:tcPr>
            <w:tcW w:w="1596" w:type="dxa"/>
            <w:vMerge/>
            <w:shd w:val="clear" w:color="auto" w:fill="FFFFFF"/>
          </w:tcPr>
          <w:p w14:paraId="7CAB9686" w14:textId="77777777" w:rsidR="00E238FE" w:rsidRPr="002269DF" w:rsidRDefault="00E238FE" w:rsidP="00D75DD2">
            <w:pPr>
              <w:spacing w:line="240" w:lineRule="auto"/>
              <w:rPr>
                <w:rFonts w:ascii="Times New Roman" w:hAnsi="Times New Roman"/>
              </w:rPr>
            </w:pPr>
          </w:p>
        </w:tc>
        <w:tc>
          <w:tcPr>
            <w:tcW w:w="2293" w:type="dxa"/>
            <w:gridSpan w:val="6"/>
            <w:shd w:val="clear" w:color="auto" w:fill="FFFFFF"/>
          </w:tcPr>
          <w:p w14:paraId="5DBA7DFA" w14:textId="77777777" w:rsidR="00E238FE" w:rsidRPr="002269DF" w:rsidRDefault="00E238FE" w:rsidP="00D75DD2">
            <w:pPr>
              <w:tabs>
                <w:tab w:val="right" w:pos="1936"/>
              </w:tabs>
              <w:spacing w:line="240" w:lineRule="auto"/>
              <w:rPr>
                <w:rFonts w:ascii="Times New Roman" w:hAnsi="Times New Roman"/>
              </w:rPr>
            </w:pPr>
            <w:r w:rsidRPr="002269DF">
              <w:rPr>
                <w:rFonts w:ascii="Times New Roman" w:hAnsi="Times New Roman"/>
              </w:rPr>
              <w:t xml:space="preserve">rodzina, obywatele oraz gospodarstwa domowe </w:t>
            </w:r>
          </w:p>
        </w:tc>
        <w:tc>
          <w:tcPr>
            <w:tcW w:w="7048" w:type="dxa"/>
            <w:gridSpan w:val="22"/>
            <w:shd w:val="clear" w:color="auto" w:fill="FFFFFF"/>
          </w:tcPr>
          <w:p w14:paraId="567FD4EF" w14:textId="68EA27DE" w:rsidR="00E238FE" w:rsidRPr="002269DF" w:rsidRDefault="00E238FE" w:rsidP="00664D1C">
            <w:pPr>
              <w:spacing w:before="120" w:line="240" w:lineRule="auto"/>
              <w:rPr>
                <w:rFonts w:ascii="Times New Roman" w:hAnsi="Times New Roman"/>
                <w:spacing w:val="-2"/>
              </w:rPr>
            </w:pPr>
          </w:p>
        </w:tc>
      </w:tr>
      <w:tr w:rsidR="00E238FE" w:rsidRPr="002269DF" w14:paraId="21434CE2" w14:textId="77777777" w:rsidTr="00C13669">
        <w:trPr>
          <w:gridAfter w:val="1"/>
          <w:wAfter w:w="10" w:type="dxa"/>
          <w:trHeight w:val="493"/>
        </w:trPr>
        <w:tc>
          <w:tcPr>
            <w:tcW w:w="1596" w:type="dxa"/>
            <w:shd w:val="clear" w:color="auto" w:fill="FFFFFF"/>
          </w:tcPr>
          <w:p w14:paraId="2A64A7C5" w14:textId="77777777" w:rsidR="00E238FE" w:rsidRPr="002269DF" w:rsidRDefault="00E238FE" w:rsidP="00D75DD2">
            <w:pPr>
              <w:spacing w:line="240" w:lineRule="auto"/>
              <w:rPr>
                <w:rFonts w:ascii="Times New Roman" w:hAnsi="Times New Roman"/>
              </w:rPr>
            </w:pPr>
            <w:r w:rsidRPr="002269DF">
              <w:rPr>
                <w:rFonts w:ascii="Times New Roman" w:hAnsi="Times New Roman"/>
              </w:rPr>
              <w:t>Niemierzalne</w:t>
            </w:r>
          </w:p>
        </w:tc>
        <w:tc>
          <w:tcPr>
            <w:tcW w:w="2293" w:type="dxa"/>
            <w:gridSpan w:val="6"/>
            <w:shd w:val="clear" w:color="auto" w:fill="FFFFFF"/>
          </w:tcPr>
          <w:p w14:paraId="7284EDB5" w14:textId="77777777" w:rsidR="00E238FE" w:rsidRPr="002269DF" w:rsidRDefault="00E238FE" w:rsidP="00D75DD2">
            <w:pPr>
              <w:spacing w:line="240" w:lineRule="auto"/>
              <w:rPr>
                <w:rFonts w:ascii="Times New Roman" w:hAnsi="Times New Roman"/>
              </w:rPr>
            </w:pPr>
            <w:r w:rsidRPr="002269DF">
              <w:rPr>
                <w:rFonts w:ascii="Times New Roman" w:hAnsi="Times New Roman"/>
              </w:rPr>
              <w:t xml:space="preserve">sektor mikro-, małych i średnich przedsiębiorstw </w:t>
            </w:r>
          </w:p>
        </w:tc>
        <w:tc>
          <w:tcPr>
            <w:tcW w:w="7048" w:type="dxa"/>
            <w:gridSpan w:val="22"/>
            <w:shd w:val="clear" w:color="auto" w:fill="FFFFFF"/>
          </w:tcPr>
          <w:p w14:paraId="70A0267C" w14:textId="54050E04" w:rsidR="00E238FE" w:rsidRPr="002269DF" w:rsidRDefault="00E238FE" w:rsidP="00664D1C">
            <w:pPr>
              <w:spacing w:before="120" w:line="240" w:lineRule="auto"/>
              <w:jc w:val="both"/>
              <w:rPr>
                <w:rFonts w:ascii="Times New Roman" w:hAnsi="Times New Roman"/>
              </w:rPr>
            </w:pPr>
            <w:r w:rsidRPr="002269DF">
              <w:rPr>
                <w:rFonts w:ascii="Times New Roman" w:hAnsi="Times New Roman"/>
                <w:spacing w:val="-2"/>
              </w:rPr>
              <w:t xml:space="preserve">Skrócenie terminu umożliwiającego wierzycielowi zastosowanie przepisów regulujących „ulgę na złe długi” </w:t>
            </w:r>
            <w:r w:rsidRPr="002269DF">
              <w:rPr>
                <w:rFonts w:ascii="Times New Roman" w:hAnsi="Times New Roman"/>
              </w:rPr>
              <w:t>pozwoli wierzycielowi na zmniejszenie należnego podatku VAT z tytułu dostawy towarów lub świadczenia usług na</w:t>
            </w:r>
            <w:r w:rsidR="00DD4A97">
              <w:rPr>
                <w:rFonts w:ascii="Times New Roman" w:hAnsi="Times New Roman"/>
              </w:rPr>
              <w:t> </w:t>
            </w:r>
            <w:r w:rsidRPr="002269DF">
              <w:rPr>
                <w:rFonts w:ascii="Times New Roman" w:hAnsi="Times New Roman"/>
              </w:rPr>
              <w:t>terytorium kraju w przypadku niezapłaconych wierzytelności. Rozwiązanie to powinno sprzyjać rzetelności obrotu oraz ograniczeniu zatorów płatniczych.</w:t>
            </w:r>
          </w:p>
          <w:p w14:paraId="4AF150AB" w14:textId="77777777" w:rsidR="00E238FE" w:rsidRPr="002269DF" w:rsidRDefault="00E238FE" w:rsidP="00664D1C">
            <w:pPr>
              <w:spacing w:before="120" w:line="240" w:lineRule="auto"/>
              <w:jc w:val="both"/>
              <w:rPr>
                <w:rFonts w:ascii="Times New Roman" w:hAnsi="Times New Roman"/>
              </w:rPr>
            </w:pPr>
            <w:r w:rsidRPr="002269DF">
              <w:rPr>
                <w:rFonts w:ascii="Times New Roman" w:hAnsi="Times New Roman"/>
              </w:rPr>
              <w:t>Obniżenie limitu obrotu sprzedaży do 200 tys. zł w systemie TAX FREE wpłynie korzystnie na konkurencyjność przedsiębiorstw, które będą mogły samodzielnie (bez konieczności pośredników) dokonywać zwrotu podatku podróżnym spoza UE.</w:t>
            </w:r>
          </w:p>
          <w:p w14:paraId="26B08012" w14:textId="77777777" w:rsidR="00E238FE" w:rsidRPr="002269DF" w:rsidRDefault="00E238FE" w:rsidP="00664D1C">
            <w:pPr>
              <w:spacing w:before="120" w:line="240" w:lineRule="auto"/>
              <w:jc w:val="both"/>
              <w:rPr>
                <w:rFonts w:ascii="Times New Roman" w:hAnsi="Times New Roman"/>
              </w:rPr>
            </w:pPr>
            <w:r w:rsidRPr="002269DF">
              <w:rPr>
                <w:rFonts w:ascii="Times New Roman" w:hAnsi="Times New Roman"/>
              </w:rPr>
              <w:t>W zakresie podatków lokalnych skorzystanie z projektowanego rozwiązania polegającego na umożliwieniu składania deklaracji w formie elektronicznej przyczyni się do poprawy warunków prowadzenia działalności gospodarczej.</w:t>
            </w:r>
          </w:p>
          <w:p w14:paraId="5C2E051C" w14:textId="77777777" w:rsidR="00E238FE" w:rsidRPr="002269DF" w:rsidRDefault="00E238FE" w:rsidP="00664D1C">
            <w:pPr>
              <w:spacing w:before="120" w:line="240" w:lineRule="auto"/>
              <w:jc w:val="both"/>
              <w:rPr>
                <w:rFonts w:ascii="Times New Roman" w:hAnsi="Times New Roman"/>
                <w:spacing w:val="-2"/>
              </w:rPr>
            </w:pPr>
            <w:r w:rsidRPr="002269DF">
              <w:rPr>
                <w:rFonts w:ascii="Times New Roman" w:hAnsi="Times New Roman"/>
                <w:spacing w:val="-2"/>
              </w:rPr>
              <w:t>W zakresie podatku od czynności cywilnoprawnych projektowane rozwiązanie umożliwiające składanie zbiorczej deklaracji przyczyni się do poprawy warunków prowadzenia działalności gospodarczej.</w:t>
            </w:r>
          </w:p>
          <w:p w14:paraId="6C86E374" w14:textId="7FB04CA4" w:rsidR="00E238FE" w:rsidRPr="002269DF" w:rsidRDefault="00E238FE" w:rsidP="00752AFC">
            <w:pPr>
              <w:spacing w:before="120" w:line="240" w:lineRule="auto"/>
              <w:jc w:val="both"/>
              <w:rPr>
                <w:rFonts w:ascii="Times New Roman" w:hAnsi="Times New Roman"/>
              </w:rPr>
            </w:pPr>
            <w:r w:rsidRPr="002269DF">
              <w:rPr>
                <w:rFonts w:ascii="Times New Roman" w:hAnsi="Times New Roman"/>
              </w:rPr>
              <w:t>Rozwiązania mające na celu realizację zasady pewności prawa w obszarze prawa spółek handlowych, przyczynią się do zwiększenia ich</w:t>
            </w:r>
            <w:r w:rsidR="00DD4A97">
              <w:rPr>
                <w:rFonts w:ascii="Times New Roman" w:hAnsi="Times New Roman"/>
              </w:rPr>
              <w:t> </w:t>
            </w:r>
            <w:r w:rsidRPr="002269DF">
              <w:rPr>
                <w:rFonts w:ascii="Times New Roman" w:hAnsi="Times New Roman"/>
              </w:rPr>
              <w:t>konkurencyjności. Stworzenie przedsiębiorcom warunków do</w:t>
            </w:r>
            <w:r w:rsidR="00DD4A97">
              <w:rPr>
                <w:rFonts w:ascii="Times New Roman" w:hAnsi="Times New Roman"/>
              </w:rPr>
              <w:t> </w:t>
            </w:r>
            <w:r w:rsidRPr="002269DF">
              <w:rPr>
                <w:rFonts w:ascii="Times New Roman" w:hAnsi="Times New Roman"/>
              </w:rPr>
              <w:t xml:space="preserve">swobodnego podejmowania decyzji, które do tej pory były obarczone ryzykiem niezgodności z prawem (wobec jego nieprecyzyjności), znacząco ułatwi prowadzenie działalności.  </w:t>
            </w:r>
          </w:p>
          <w:p w14:paraId="0DD0C2A5" w14:textId="5B3ED94D" w:rsidR="00E238FE" w:rsidRPr="002269DF" w:rsidRDefault="00E238FE" w:rsidP="00573A5F">
            <w:pPr>
              <w:spacing w:before="120" w:line="240" w:lineRule="auto"/>
              <w:jc w:val="both"/>
              <w:rPr>
                <w:rFonts w:ascii="Times New Roman" w:hAnsi="Times New Roman"/>
              </w:rPr>
            </w:pPr>
            <w:r w:rsidRPr="002269DF">
              <w:rPr>
                <w:rFonts w:ascii="Times New Roman" w:hAnsi="Times New Roman"/>
              </w:rPr>
              <w:t>Ograniczenie obowiązku przeprowadzania szkoleń okresowych BHP dla</w:t>
            </w:r>
            <w:r w:rsidR="00DD4A97">
              <w:rPr>
                <w:rFonts w:ascii="Times New Roman" w:hAnsi="Times New Roman"/>
              </w:rPr>
              <w:t> </w:t>
            </w:r>
            <w:r w:rsidRPr="002269DF">
              <w:rPr>
                <w:rFonts w:ascii="Times New Roman" w:hAnsi="Times New Roman"/>
              </w:rPr>
              <w:t>pracowników obniży koszty pracodawców – z tytułu kosztów poniesionych na zakup/przeprowadzenie usługi szkoleniowej oraz z tytułu kosztów alternatywnych. Szkolenie BHP odbywa się w czasie pracy. Zniesienie obowiązku umożliwi pracownikom wykonanie powierzonych im</w:t>
            </w:r>
            <w:r w:rsidR="00DD4A97">
              <w:rPr>
                <w:rFonts w:ascii="Times New Roman" w:hAnsi="Times New Roman"/>
              </w:rPr>
              <w:t> </w:t>
            </w:r>
            <w:r w:rsidRPr="002269DF">
              <w:rPr>
                <w:rFonts w:ascii="Times New Roman" w:hAnsi="Times New Roman"/>
              </w:rPr>
              <w:t>zadań pracy w tym czasie. Zmiana przepisów skierowana jest do grup działalności o najniższych wskaźnikach wypadkowości i najmniej szkodliwych czynnikach dla zdrowia.</w:t>
            </w:r>
          </w:p>
          <w:p w14:paraId="1CC7DDD4" w14:textId="77777777" w:rsidR="00E238FE" w:rsidRPr="002269DF" w:rsidRDefault="00E238FE" w:rsidP="00573A5F">
            <w:pPr>
              <w:spacing w:before="120" w:line="240" w:lineRule="auto"/>
              <w:jc w:val="both"/>
              <w:rPr>
                <w:rFonts w:ascii="Times New Roman" w:hAnsi="Times New Roman"/>
              </w:rPr>
            </w:pPr>
            <w:r w:rsidRPr="002269DF">
              <w:rPr>
                <w:rFonts w:ascii="Times New Roman" w:hAnsi="Times New Roman"/>
              </w:rPr>
              <w:t>Ułatwienie rejestracji motocykla wyposażonego w silnik elektryczny spowoduje  rozwój rynku motocykli elektrycznych, tj. w zakresie: sprzedaży, naprawy, potencjalnej produkcji motocykli oraz części i akcesoriów. Zmiana może też dotyczyć przedsiębiorców, którzy w ramach prowadzonej działalności gospodarczej chcieliby korzystać z tego rodzaju środka transportu.</w:t>
            </w:r>
          </w:p>
          <w:p w14:paraId="3A95D619" w14:textId="68542606" w:rsidR="004F7DE7" w:rsidRPr="002269DF" w:rsidRDefault="00807F0A" w:rsidP="00DD4A97">
            <w:pPr>
              <w:spacing w:before="120" w:line="240" w:lineRule="auto"/>
              <w:jc w:val="both"/>
              <w:rPr>
                <w:rFonts w:ascii="Times New Roman" w:hAnsi="Times New Roman"/>
              </w:rPr>
            </w:pPr>
            <w:r w:rsidRPr="002269DF">
              <w:rPr>
                <w:rFonts w:ascii="Times New Roman" w:hAnsi="Times New Roman"/>
                <w:color w:val="000000"/>
              </w:rPr>
              <w:t>Propozycja zredukowania wymogów formalnych związanych ze złożeniem wniosku o wydanie zezwolenia na obrót hurtowy napojami alkoholowymi znacznie ograniczy obciążenia administracyjne i sprawozdawcze dla</w:t>
            </w:r>
            <w:r w:rsidR="00DD4A97">
              <w:rPr>
                <w:rFonts w:ascii="Times New Roman" w:hAnsi="Times New Roman"/>
                <w:color w:val="000000"/>
              </w:rPr>
              <w:t> </w:t>
            </w:r>
            <w:r w:rsidRPr="002269DF">
              <w:rPr>
                <w:rFonts w:ascii="Times New Roman" w:hAnsi="Times New Roman"/>
                <w:color w:val="000000"/>
              </w:rPr>
              <w:t>przedsiębiorców.</w:t>
            </w:r>
            <w:r w:rsidR="00AE4D26" w:rsidRPr="002269DF">
              <w:rPr>
                <w:rFonts w:ascii="Times New Roman" w:hAnsi="Times New Roman"/>
                <w:color w:val="000000"/>
              </w:rPr>
              <w:t xml:space="preserve"> </w:t>
            </w:r>
            <w:r w:rsidRPr="002269DF">
              <w:rPr>
                <w:rFonts w:ascii="Times New Roman" w:hAnsi="Times New Roman"/>
                <w:color w:val="000000"/>
              </w:rPr>
              <w:t>Propozycja zniesienia obowiązku ubiegania się o</w:t>
            </w:r>
            <w:r w:rsidR="00DD4A97">
              <w:rPr>
                <w:rFonts w:ascii="Times New Roman" w:hAnsi="Times New Roman"/>
                <w:color w:val="000000"/>
              </w:rPr>
              <w:t> </w:t>
            </w:r>
            <w:r w:rsidRPr="002269DF">
              <w:rPr>
                <w:rFonts w:ascii="Times New Roman" w:hAnsi="Times New Roman"/>
                <w:color w:val="000000"/>
              </w:rPr>
              <w:t>dodatkowe zezwolenie na zaopatrywanie w napoje alkoholowe statków, pociągów i samolotów przez przedsiębiorców posiadających już zezwolenie na obrót hurtowy alkoholem przyczyni się do zmniejszenia obciążeń administracyjnych związanych ze składaniem odrębnego wniosku.</w:t>
            </w:r>
            <w:r w:rsidR="00AE4D26" w:rsidRPr="002269DF">
              <w:rPr>
                <w:rFonts w:ascii="Times New Roman" w:hAnsi="Times New Roman"/>
                <w:color w:val="000000"/>
              </w:rPr>
              <w:t xml:space="preserve"> </w:t>
            </w:r>
            <w:r w:rsidR="004F7DE7" w:rsidRPr="002269DF">
              <w:rPr>
                <w:rFonts w:ascii="Times New Roman" w:hAnsi="Times New Roman"/>
                <w:spacing w:val="4"/>
              </w:rPr>
              <w:t>Opłata za</w:t>
            </w:r>
            <w:r w:rsidR="00DD4A97">
              <w:rPr>
                <w:rFonts w:ascii="Times New Roman" w:hAnsi="Times New Roman"/>
                <w:spacing w:val="4"/>
              </w:rPr>
              <w:t> </w:t>
            </w:r>
            <w:r w:rsidR="004F7DE7" w:rsidRPr="002269DF">
              <w:rPr>
                <w:rFonts w:ascii="Times New Roman" w:hAnsi="Times New Roman"/>
                <w:spacing w:val="4"/>
              </w:rPr>
              <w:t xml:space="preserve">korzystanie z zezwolenia na sprzedaż napojów alkoholowych wnoszona jest na rachunek gminy w każdym roku kalendarzowym objętym zezwoleniem w trzech równych ratach w terminach do 31 stycznia, 31 maja i 30 września danego roku kalendarzowego. Przepis sugeruje, że opłata może być wnoszona jedynie w ratach. W celu wyeliminowania wątpliwości, co do możliwości wniesienia opłaty </w:t>
            </w:r>
            <w:r w:rsidR="004F7DE7" w:rsidRPr="002269DF">
              <w:rPr>
                <w:rFonts w:ascii="Times New Roman" w:hAnsi="Times New Roman"/>
                <w:spacing w:val="4"/>
              </w:rPr>
              <w:lastRenderedPageBreak/>
              <w:t>jednorazowo, zaproponowano nowe brzmienie przepisu wskazujące również na możliwość wniesienia opłaty jednorazowo.</w:t>
            </w:r>
          </w:p>
        </w:tc>
      </w:tr>
      <w:tr w:rsidR="00E238FE" w:rsidRPr="002269DF" w14:paraId="5B967DEC" w14:textId="77777777" w:rsidTr="008709D2">
        <w:trPr>
          <w:gridAfter w:val="1"/>
          <w:wAfter w:w="10" w:type="dxa"/>
          <w:trHeight w:val="1280"/>
        </w:trPr>
        <w:tc>
          <w:tcPr>
            <w:tcW w:w="2243" w:type="dxa"/>
            <w:gridSpan w:val="3"/>
            <w:shd w:val="clear" w:color="auto" w:fill="FFFFFF"/>
          </w:tcPr>
          <w:p w14:paraId="2DE93EBD" w14:textId="77777777" w:rsidR="00E238FE" w:rsidRPr="002269DF" w:rsidRDefault="00E238FE" w:rsidP="006B7A7F">
            <w:pPr>
              <w:spacing w:before="120" w:line="240" w:lineRule="auto"/>
              <w:rPr>
                <w:rFonts w:ascii="Times New Roman" w:hAnsi="Times New Roman"/>
              </w:rPr>
            </w:pPr>
            <w:r w:rsidRPr="002269DF">
              <w:rPr>
                <w:rFonts w:ascii="Times New Roman" w:hAnsi="Times New Roman"/>
              </w:rPr>
              <w:lastRenderedPageBreak/>
              <w:t xml:space="preserve">Dodatkowe informacje, w tym wskazanie źródeł danych i przyjętych do obliczeń założeń </w:t>
            </w:r>
          </w:p>
        </w:tc>
        <w:tc>
          <w:tcPr>
            <w:tcW w:w="8694" w:type="dxa"/>
            <w:gridSpan w:val="26"/>
            <w:shd w:val="clear" w:color="auto" w:fill="FFFFFF"/>
          </w:tcPr>
          <w:p w14:paraId="12F8530B" w14:textId="62215425" w:rsidR="005A2F1E" w:rsidRPr="002269DF" w:rsidRDefault="005A2F1E" w:rsidP="00DD4A97">
            <w:pPr>
              <w:spacing w:before="120" w:line="240" w:lineRule="auto"/>
              <w:jc w:val="both"/>
              <w:rPr>
                <w:rFonts w:ascii="Times New Roman" w:hAnsi="Times New Roman"/>
              </w:rPr>
            </w:pPr>
            <w:r>
              <w:rPr>
                <w:rFonts w:ascii="Times New Roman" w:hAnsi="Times New Roman"/>
              </w:rPr>
              <w:t>Przedsiębiorcy mogą osiągnąć korzyści ze zmian również w ujęciu pieniężnym, w</w:t>
            </w:r>
            <w:r w:rsidR="00DD4A97">
              <w:rPr>
                <w:rFonts w:ascii="Times New Roman" w:hAnsi="Times New Roman"/>
              </w:rPr>
              <w:t> </w:t>
            </w:r>
            <w:r>
              <w:rPr>
                <w:rFonts w:ascii="Times New Roman" w:hAnsi="Times New Roman"/>
              </w:rPr>
              <w:t>szczególności z tytułu wprowadzenia udogodnień w prawie podatkowym –</w:t>
            </w:r>
            <w:r w:rsidR="00DC435B">
              <w:rPr>
                <w:rFonts w:ascii="Times New Roman" w:hAnsi="Times New Roman"/>
              </w:rPr>
              <w:t xml:space="preserve"> </w:t>
            </w:r>
            <w:r>
              <w:rPr>
                <w:rFonts w:ascii="Times New Roman" w:hAnsi="Times New Roman"/>
              </w:rPr>
              <w:t xml:space="preserve">szacunki </w:t>
            </w:r>
            <w:r w:rsidR="00DC435B">
              <w:rPr>
                <w:rFonts w:ascii="Times New Roman" w:hAnsi="Times New Roman"/>
              </w:rPr>
              <w:t xml:space="preserve">pieniężne i założenia przyjęte do obliczeń </w:t>
            </w:r>
            <w:r>
              <w:rPr>
                <w:rFonts w:ascii="Times New Roman" w:hAnsi="Times New Roman"/>
              </w:rPr>
              <w:t xml:space="preserve">w tym zakresie zostały </w:t>
            </w:r>
            <w:r w:rsidR="00DC435B">
              <w:rPr>
                <w:rFonts w:ascii="Times New Roman" w:hAnsi="Times New Roman"/>
              </w:rPr>
              <w:t>przedstawione w części opisowej w pkt 6 OSR.</w:t>
            </w:r>
          </w:p>
        </w:tc>
      </w:tr>
      <w:tr w:rsidR="00E238FE" w:rsidRPr="002269DF" w14:paraId="6DC5B098" w14:textId="77777777" w:rsidTr="00676C8D">
        <w:trPr>
          <w:gridAfter w:val="1"/>
          <w:wAfter w:w="10" w:type="dxa"/>
          <w:trHeight w:val="342"/>
        </w:trPr>
        <w:tc>
          <w:tcPr>
            <w:tcW w:w="10937" w:type="dxa"/>
            <w:gridSpan w:val="29"/>
            <w:shd w:val="clear" w:color="auto" w:fill="99CCFF"/>
            <w:vAlign w:val="center"/>
          </w:tcPr>
          <w:p w14:paraId="3769B807" w14:textId="77777777" w:rsidR="00E238FE" w:rsidRPr="002269DF" w:rsidRDefault="00E238FE" w:rsidP="00F80777">
            <w:pPr>
              <w:numPr>
                <w:ilvl w:val="0"/>
                <w:numId w:val="1"/>
              </w:numPr>
              <w:spacing w:before="60" w:after="60" w:line="240" w:lineRule="auto"/>
              <w:ind w:left="318" w:hanging="284"/>
              <w:jc w:val="both"/>
              <w:rPr>
                <w:rFonts w:ascii="Times New Roman" w:hAnsi="Times New Roman"/>
                <w:b/>
              </w:rPr>
            </w:pPr>
            <w:r w:rsidRPr="002269DF">
              <w:rPr>
                <w:rFonts w:ascii="Times New Roman" w:hAnsi="Times New Roman"/>
                <w:b/>
              </w:rPr>
              <w:t xml:space="preserve"> Zmiana obciążeń regulacyjnych (w tym obowiązków informacyjnych) wynikających z projektu </w:t>
            </w:r>
          </w:p>
        </w:tc>
      </w:tr>
      <w:tr w:rsidR="00E238FE" w:rsidRPr="002269DF" w14:paraId="36274617" w14:textId="77777777" w:rsidTr="00676C8D">
        <w:trPr>
          <w:gridAfter w:val="1"/>
          <w:wAfter w:w="10" w:type="dxa"/>
          <w:trHeight w:val="151"/>
        </w:trPr>
        <w:tc>
          <w:tcPr>
            <w:tcW w:w="10937" w:type="dxa"/>
            <w:gridSpan w:val="29"/>
            <w:shd w:val="clear" w:color="auto" w:fill="FFFFFF"/>
          </w:tcPr>
          <w:p w14:paraId="54149F12" w14:textId="77777777" w:rsidR="00E238FE" w:rsidRPr="002269DF" w:rsidRDefault="00E238FE" w:rsidP="00D75DD2">
            <w:pPr>
              <w:spacing w:line="240" w:lineRule="auto"/>
              <w:rPr>
                <w:rFonts w:ascii="Times New Roman" w:hAnsi="Times New Roman"/>
              </w:rPr>
            </w:pPr>
            <w:r w:rsidRPr="002269DF">
              <w:rPr>
                <w:rFonts w:ascii="Times New Roman" w:hAnsi="Times New Roman"/>
              </w:rPr>
              <w:fldChar w:fldCharType="begin">
                <w:ffData>
                  <w:name w:val=""/>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nie dotyczy</w:t>
            </w:r>
          </w:p>
        </w:tc>
      </w:tr>
      <w:tr w:rsidR="00E238FE" w:rsidRPr="002269DF" w14:paraId="6171457B" w14:textId="77777777" w:rsidTr="00FC1E1B">
        <w:trPr>
          <w:gridAfter w:val="1"/>
          <w:wAfter w:w="10" w:type="dxa"/>
          <w:trHeight w:val="782"/>
        </w:trPr>
        <w:tc>
          <w:tcPr>
            <w:tcW w:w="5111" w:type="dxa"/>
            <w:gridSpan w:val="11"/>
            <w:shd w:val="clear" w:color="auto" w:fill="FFFFFF"/>
          </w:tcPr>
          <w:p w14:paraId="1BB89DF3" w14:textId="77777777" w:rsidR="00E238FE" w:rsidRPr="002269DF" w:rsidRDefault="00E238FE" w:rsidP="00D75DD2">
            <w:pPr>
              <w:spacing w:line="240" w:lineRule="auto"/>
              <w:rPr>
                <w:rFonts w:ascii="Times New Roman" w:hAnsi="Times New Roman"/>
                <w:spacing w:val="-2"/>
              </w:rPr>
            </w:pPr>
            <w:r w:rsidRPr="002269DF">
              <w:rPr>
                <w:rFonts w:ascii="Times New Roman" w:hAnsi="Times New Roman"/>
                <w:spacing w:val="-2"/>
              </w:rPr>
              <w:t xml:space="preserve">Wprowadzane są obciążenia poza bezwzględnie wymaganymi przez UE </w:t>
            </w:r>
            <w:r w:rsidRPr="002269DF">
              <w:rPr>
                <w:rFonts w:ascii="Times New Roman" w:hAnsi="Times New Roman"/>
              </w:rPr>
              <w:t>(szczegóły w odwróconej tabeli zgodności).</w:t>
            </w:r>
          </w:p>
        </w:tc>
        <w:tc>
          <w:tcPr>
            <w:tcW w:w="5826" w:type="dxa"/>
            <w:gridSpan w:val="18"/>
            <w:shd w:val="clear" w:color="auto" w:fill="FFFFFF"/>
          </w:tcPr>
          <w:p w14:paraId="14903298" w14:textId="77777777" w:rsidR="00E238FE" w:rsidRPr="002269DF" w:rsidRDefault="00E238FE" w:rsidP="00D75DD2">
            <w:pPr>
              <w:spacing w:line="240" w:lineRule="auto"/>
              <w:rPr>
                <w:rFonts w:ascii="Times New Roman" w:hAnsi="Times New Roman"/>
              </w:rPr>
            </w:pPr>
            <w:r w:rsidRPr="002269DF">
              <w:rPr>
                <w:rFonts w:ascii="Times New Roman" w:hAnsi="Times New Roman"/>
              </w:rPr>
              <w:fldChar w:fldCharType="begin">
                <w:ffData>
                  <w:name w:val="Wybór1"/>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tak</w:t>
            </w:r>
          </w:p>
          <w:p w14:paraId="7AF1B759" w14:textId="77777777" w:rsidR="00E238FE" w:rsidRPr="002269DF" w:rsidRDefault="00E238FE" w:rsidP="00D75DD2">
            <w:pPr>
              <w:spacing w:line="240" w:lineRule="auto"/>
              <w:rPr>
                <w:rFonts w:ascii="Times New Roman" w:hAnsi="Times New Roman"/>
              </w:rPr>
            </w:pPr>
            <w:r w:rsidRPr="002269DF">
              <w:rPr>
                <w:rFonts w:ascii="Times New Roman" w:hAnsi="Times New Roman"/>
              </w:rPr>
              <w:fldChar w:fldCharType="begin">
                <w:ffData>
                  <w:name w:val=""/>
                  <w:enabled/>
                  <w:calcOnExit w:val="0"/>
                  <w:checkBox>
                    <w:sizeAuto/>
                    <w:default w:val="1"/>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nie</w:t>
            </w:r>
          </w:p>
          <w:p w14:paraId="2613D223" w14:textId="77777777" w:rsidR="00E238FE" w:rsidRPr="002269DF" w:rsidRDefault="00E238FE" w:rsidP="00D75DD2">
            <w:pPr>
              <w:spacing w:line="240" w:lineRule="auto"/>
              <w:rPr>
                <w:rFonts w:ascii="Times New Roman" w:hAnsi="Times New Roman"/>
              </w:rPr>
            </w:pPr>
            <w:r w:rsidRPr="002269DF">
              <w:rPr>
                <w:rFonts w:ascii="Times New Roman" w:hAnsi="Times New Roman"/>
              </w:rPr>
              <w:fldChar w:fldCharType="begin">
                <w:ffData>
                  <w:name w:val="Wybór1"/>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nie dotyczy</w:t>
            </w:r>
          </w:p>
        </w:tc>
      </w:tr>
      <w:tr w:rsidR="00E238FE" w:rsidRPr="002269DF" w14:paraId="0077DB8F" w14:textId="77777777" w:rsidTr="00FC1E1B">
        <w:trPr>
          <w:gridAfter w:val="1"/>
          <w:wAfter w:w="10" w:type="dxa"/>
          <w:trHeight w:val="1105"/>
        </w:trPr>
        <w:tc>
          <w:tcPr>
            <w:tcW w:w="5111" w:type="dxa"/>
            <w:gridSpan w:val="11"/>
            <w:shd w:val="clear" w:color="auto" w:fill="FFFFFF"/>
          </w:tcPr>
          <w:p w14:paraId="5183656F" w14:textId="77777777" w:rsidR="00E238FE" w:rsidRPr="002269DF" w:rsidRDefault="00E238FE" w:rsidP="00D75DD2">
            <w:pPr>
              <w:spacing w:line="240" w:lineRule="auto"/>
              <w:rPr>
                <w:rFonts w:ascii="Times New Roman" w:hAnsi="Times New Roman"/>
                <w:spacing w:val="-2"/>
              </w:rPr>
            </w:pPr>
            <w:r w:rsidRPr="002269DF">
              <w:rPr>
                <w:rFonts w:ascii="Times New Roman" w:hAnsi="Times New Roman"/>
              </w:rPr>
              <w:fldChar w:fldCharType="begin">
                <w:ffData>
                  <w:name w:val=""/>
                  <w:enabled/>
                  <w:calcOnExit w:val="0"/>
                  <w:checkBox>
                    <w:sizeAuto/>
                    <w:default w:val="1"/>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 xml:space="preserve">zmniejszenie liczby dokumentów </w:t>
            </w:r>
          </w:p>
          <w:p w14:paraId="38D746CA" w14:textId="77777777" w:rsidR="00E238FE" w:rsidRPr="002269DF" w:rsidRDefault="00E238FE" w:rsidP="00D75DD2">
            <w:pPr>
              <w:spacing w:line="240" w:lineRule="auto"/>
              <w:rPr>
                <w:rFonts w:ascii="Times New Roman" w:hAnsi="Times New Roman"/>
                <w:spacing w:val="-2"/>
              </w:rPr>
            </w:pPr>
            <w:r w:rsidRPr="002269DF">
              <w:rPr>
                <w:rFonts w:ascii="Times New Roman" w:hAnsi="Times New Roman"/>
              </w:rPr>
              <w:fldChar w:fldCharType="begin">
                <w:ffData>
                  <w:name w:val=""/>
                  <w:enabled/>
                  <w:calcOnExit w:val="0"/>
                  <w:checkBox>
                    <w:sizeAuto/>
                    <w:default w:val="1"/>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zmniejszenie liczby procedur</w:t>
            </w:r>
          </w:p>
          <w:p w14:paraId="35C389B3" w14:textId="77777777" w:rsidR="00E238FE" w:rsidRPr="002269DF" w:rsidRDefault="00E238FE" w:rsidP="0086399C">
            <w:pPr>
              <w:spacing w:line="240" w:lineRule="auto"/>
              <w:rPr>
                <w:rFonts w:ascii="Times New Roman" w:hAnsi="Times New Roman"/>
                <w:spacing w:val="-2"/>
              </w:rPr>
            </w:pPr>
            <w:r w:rsidRPr="002269DF">
              <w:rPr>
                <w:rFonts w:ascii="Times New Roman" w:hAnsi="Times New Roman"/>
              </w:rPr>
              <w:fldChar w:fldCharType="begin">
                <w:ffData>
                  <w:name w:val=""/>
                  <w:enabled/>
                  <w:calcOnExit w:val="0"/>
                  <w:checkBox>
                    <w:sizeAuto/>
                    <w:default w:val="1"/>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skrócenie czasu na załatwienie sprawy</w:t>
            </w:r>
          </w:p>
          <w:p w14:paraId="29867B75" w14:textId="77777777" w:rsidR="00E238FE" w:rsidRPr="002269DF" w:rsidRDefault="00E238FE" w:rsidP="00732729">
            <w:pPr>
              <w:spacing w:line="240" w:lineRule="auto"/>
              <w:rPr>
                <w:rFonts w:ascii="Times New Roman" w:hAnsi="Times New Roman"/>
                <w:spacing w:val="-2"/>
              </w:rPr>
            </w:pPr>
            <w:r w:rsidRPr="002269DF">
              <w:rPr>
                <w:rFonts w:ascii="Times New Roman" w:hAnsi="Times New Roman"/>
              </w:rPr>
              <w:fldChar w:fldCharType="begin">
                <w:ffData>
                  <w:name w:val=""/>
                  <w:enabled/>
                  <w:calcOnExit w:val="0"/>
                  <w:checkBox>
                    <w:sizeAuto/>
                    <w:default w:val="1"/>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inne:</w:t>
            </w:r>
            <w:r w:rsidRPr="002269DF">
              <w:rPr>
                <w:rFonts w:ascii="Times New Roman" w:hAnsi="Times New Roman"/>
              </w:rPr>
              <w:t xml:space="preserve"> skrócenie czasu procedur wewnętrznych </w:t>
            </w:r>
          </w:p>
        </w:tc>
        <w:tc>
          <w:tcPr>
            <w:tcW w:w="5826" w:type="dxa"/>
            <w:gridSpan w:val="18"/>
            <w:shd w:val="clear" w:color="auto" w:fill="FFFFFF"/>
          </w:tcPr>
          <w:p w14:paraId="273B12C5" w14:textId="77777777" w:rsidR="00E238FE" w:rsidRPr="002269DF" w:rsidRDefault="00E238FE" w:rsidP="00D75DD2">
            <w:pPr>
              <w:spacing w:line="240" w:lineRule="auto"/>
              <w:rPr>
                <w:rFonts w:ascii="Times New Roman" w:hAnsi="Times New Roman"/>
                <w:spacing w:val="-2"/>
              </w:rPr>
            </w:pPr>
            <w:r w:rsidRPr="002269DF">
              <w:rPr>
                <w:rFonts w:ascii="Times New Roman" w:hAnsi="Times New Roman"/>
              </w:rPr>
              <w:fldChar w:fldCharType="begin">
                <w:ffData>
                  <w:name w:val=""/>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zwiększenie liczby dokumentów</w:t>
            </w:r>
          </w:p>
          <w:p w14:paraId="204BCC30" w14:textId="77777777" w:rsidR="00E238FE" w:rsidRPr="002269DF" w:rsidRDefault="00E238FE" w:rsidP="00D75DD2">
            <w:pPr>
              <w:spacing w:line="240" w:lineRule="auto"/>
              <w:rPr>
                <w:rFonts w:ascii="Times New Roman" w:hAnsi="Times New Roman"/>
                <w:spacing w:val="-2"/>
              </w:rPr>
            </w:pPr>
            <w:r w:rsidRPr="002269DF">
              <w:rPr>
                <w:rFonts w:ascii="Times New Roman" w:hAnsi="Times New Roman"/>
              </w:rPr>
              <w:fldChar w:fldCharType="begin">
                <w:ffData>
                  <w:name w:val=""/>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zwiększenie liczby procedur</w:t>
            </w:r>
          </w:p>
          <w:p w14:paraId="16E4FEE5" w14:textId="77777777" w:rsidR="00E238FE" w:rsidRPr="002269DF" w:rsidRDefault="00E238FE" w:rsidP="00D75DD2">
            <w:pPr>
              <w:spacing w:line="240" w:lineRule="auto"/>
              <w:rPr>
                <w:rFonts w:ascii="Times New Roman" w:hAnsi="Times New Roman"/>
                <w:spacing w:val="-2"/>
              </w:rPr>
            </w:pPr>
            <w:r w:rsidRPr="002269DF">
              <w:rPr>
                <w:rFonts w:ascii="Times New Roman" w:hAnsi="Times New Roman"/>
              </w:rPr>
              <w:fldChar w:fldCharType="begin">
                <w:ffData>
                  <w:name w:val="Wybór1"/>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wydłużenie czasu na załatwienie sprawy</w:t>
            </w:r>
          </w:p>
          <w:p w14:paraId="6A13462B" w14:textId="77777777" w:rsidR="00E238FE" w:rsidRPr="002269DF" w:rsidRDefault="00E238FE" w:rsidP="00D75DD2">
            <w:pPr>
              <w:spacing w:line="240" w:lineRule="auto"/>
              <w:rPr>
                <w:rFonts w:ascii="Times New Roman" w:hAnsi="Times New Roman"/>
              </w:rPr>
            </w:pPr>
            <w:r w:rsidRPr="002269DF">
              <w:rPr>
                <w:rFonts w:ascii="Times New Roman" w:hAnsi="Times New Roman"/>
              </w:rPr>
              <w:fldChar w:fldCharType="begin">
                <w:ffData>
                  <w:name w:val="Wybór1"/>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inne:</w:t>
            </w:r>
            <w:r w:rsidRPr="002269DF">
              <w:rPr>
                <w:rFonts w:ascii="Times New Roman" w:hAnsi="Times New Roman"/>
              </w:rPr>
              <w:t xml:space="preserve"> </w:t>
            </w:r>
            <w:r w:rsidRPr="002269DF">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2269DF">
              <w:rPr>
                <w:rFonts w:ascii="Times New Roman" w:hAnsi="Times New Roman"/>
              </w:rPr>
              <w:instrText xml:space="preserve"> FORMTEXT </w:instrText>
            </w:r>
            <w:r w:rsidRPr="002269DF">
              <w:rPr>
                <w:rFonts w:ascii="Times New Roman" w:hAnsi="Times New Roman"/>
              </w:rPr>
            </w:r>
            <w:r w:rsidRPr="002269DF">
              <w:rPr>
                <w:rFonts w:ascii="Times New Roman" w:hAnsi="Times New Roman"/>
              </w:rPr>
              <w:fldChar w:fldCharType="separate"/>
            </w:r>
            <w:r w:rsidRPr="002269DF">
              <w:rPr>
                <w:rFonts w:ascii="Times New Roman" w:hAnsi="Times New Roman"/>
                <w:noProof/>
              </w:rPr>
              <w:t> </w:t>
            </w:r>
            <w:r w:rsidRPr="002269DF">
              <w:rPr>
                <w:rFonts w:ascii="Times New Roman" w:hAnsi="Times New Roman"/>
                <w:noProof/>
              </w:rPr>
              <w:t> </w:t>
            </w:r>
            <w:r w:rsidRPr="002269DF">
              <w:rPr>
                <w:rFonts w:ascii="Times New Roman" w:hAnsi="Times New Roman"/>
                <w:noProof/>
              </w:rPr>
              <w:t> </w:t>
            </w:r>
            <w:r w:rsidRPr="002269DF">
              <w:rPr>
                <w:rFonts w:ascii="Times New Roman" w:hAnsi="Times New Roman"/>
                <w:noProof/>
              </w:rPr>
              <w:t> </w:t>
            </w:r>
            <w:r w:rsidRPr="002269DF">
              <w:rPr>
                <w:rFonts w:ascii="Times New Roman" w:hAnsi="Times New Roman"/>
                <w:noProof/>
              </w:rPr>
              <w:t> </w:t>
            </w:r>
            <w:r w:rsidRPr="002269DF">
              <w:rPr>
                <w:rFonts w:ascii="Times New Roman" w:hAnsi="Times New Roman"/>
              </w:rPr>
              <w:fldChar w:fldCharType="end"/>
            </w:r>
          </w:p>
        </w:tc>
      </w:tr>
      <w:tr w:rsidR="00E238FE" w:rsidRPr="002269DF" w14:paraId="099427D5" w14:textId="77777777" w:rsidTr="00FC1E1B">
        <w:trPr>
          <w:gridAfter w:val="1"/>
          <w:wAfter w:w="10" w:type="dxa"/>
          <w:trHeight w:val="846"/>
        </w:trPr>
        <w:tc>
          <w:tcPr>
            <w:tcW w:w="5111" w:type="dxa"/>
            <w:gridSpan w:val="11"/>
            <w:shd w:val="clear" w:color="auto" w:fill="FFFFFF"/>
          </w:tcPr>
          <w:p w14:paraId="112E9AB3" w14:textId="77777777" w:rsidR="00E238FE" w:rsidRPr="002269DF" w:rsidRDefault="00E238FE" w:rsidP="00D75DD2">
            <w:pPr>
              <w:spacing w:line="240" w:lineRule="auto"/>
              <w:rPr>
                <w:rFonts w:ascii="Times New Roman" w:hAnsi="Times New Roman"/>
              </w:rPr>
            </w:pPr>
            <w:r w:rsidRPr="002269DF">
              <w:rPr>
                <w:rFonts w:ascii="Times New Roman" w:hAnsi="Times New Roman"/>
                <w:spacing w:val="-2"/>
              </w:rPr>
              <w:t>Wprowadzane obciążenia są przystosowane do ich elektronizacji.</w:t>
            </w:r>
          </w:p>
        </w:tc>
        <w:tc>
          <w:tcPr>
            <w:tcW w:w="5826" w:type="dxa"/>
            <w:gridSpan w:val="18"/>
            <w:shd w:val="clear" w:color="auto" w:fill="FFFFFF"/>
          </w:tcPr>
          <w:p w14:paraId="43F17CC6" w14:textId="77777777" w:rsidR="00E238FE" w:rsidRPr="002269DF" w:rsidRDefault="00E238FE" w:rsidP="00D75DD2">
            <w:pPr>
              <w:spacing w:line="240" w:lineRule="auto"/>
              <w:rPr>
                <w:rFonts w:ascii="Times New Roman" w:hAnsi="Times New Roman"/>
              </w:rPr>
            </w:pPr>
            <w:r w:rsidRPr="002269DF">
              <w:rPr>
                <w:rFonts w:ascii="Times New Roman" w:hAnsi="Times New Roman"/>
              </w:rPr>
              <w:fldChar w:fldCharType="begin">
                <w:ffData>
                  <w:name w:val=""/>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tak </w:t>
            </w:r>
          </w:p>
          <w:p w14:paraId="224CA2AB" w14:textId="77777777" w:rsidR="00E238FE" w:rsidRPr="002269DF" w:rsidRDefault="00E238FE" w:rsidP="0043274B">
            <w:pPr>
              <w:spacing w:line="240" w:lineRule="auto"/>
              <w:rPr>
                <w:rFonts w:ascii="Times New Roman" w:hAnsi="Times New Roman"/>
              </w:rPr>
            </w:pPr>
            <w:r w:rsidRPr="002269DF">
              <w:rPr>
                <w:rFonts w:ascii="Times New Roman" w:hAnsi="Times New Roman"/>
              </w:rPr>
              <w:fldChar w:fldCharType="begin">
                <w:ffData>
                  <w:name w:val=""/>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nie </w:t>
            </w:r>
          </w:p>
          <w:p w14:paraId="7109371C" w14:textId="77777777" w:rsidR="00E238FE" w:rsidRPr="002269DF" w:rsidRDefault="00E238FE" w:rsidP="0043274B">
            <w:pPr>
              <w:spacing w:line="240" w:lineRule="auto"/>
              <w:rPr>
                <w:rFonts w:ascii="Times New Roman" w:hAnsi="Times New Roman"/>
              </w:rPr>
            </w:pPr>
            <w:r w:rsidRPr="002269DF">
              <w:rPr>
                <w:rFonts w:ascii="Times New Roman" w:hAnsi="Times New Roman"/>
              </w:rPr>
              <w:fldChar w:fldCharType="begin">
                <w:ffData>
                  <w:name w:val="Wybór1"/>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nie dotyczy</w:t>
            </w:r>
          </w:p>
        </w:tc>
      </w:tr>
      <w:tr w:rsidR="00E238FE" w:rsidRPr="002269DF" w14:paraId="41EF3FB0" w14:textId="77777777" w:rsidTr="00676C8D">
        <w:trPr>
          <w:gridAfter w:val="1"/>
          <w:wAfter w:w="10" w:type="dxa"/>
          <w:trHeight w:val="630"/>
        </w:trPr>
        <w:tc>
          <w:tcPr>
            <w:tcW w:w="10937" w:type="dxa"/>
            <w:gridSpan w:val="29"/>
            <w:shd w:val="clear" w:color="auto" w:fill="FFFFFF"/>
          </w:tcPr>
          <w:p w14:paraId="13C8D732" w14:textId="77777777" w:rsidR="00E238FE" w:rsidRPr="002269DF" w:rsidRDefault="00E238FE" w:rsidP="006E28AB">
            <w:pPr>
              <w:spacing w:after="120" w:line="240" w:lineRule="auto"/>
              <w:jc w:val="both"/>
              <w:rPr>
                <w:rFonts w:ascii="Times New Roman" w:hAnsi="Times New Roman"/>
              </w:rPr>
            </w:pPr>
            <w:r w:rsidRPr="002269DF">
              <w:rPr>
                <w:rFonts w:ascii="Times New Roman" w:hAnsi="Times New Roman"/>
              </w:rPr>
              <w:t>Przykładowo:</w:t>
            </w:r>
          </w:p>
          <w:p w14:paraId="1AF45137" w14:textId="77777777" w:rsidR="00E238FE" w:rsidRPr="002269DF" w:rsidRDefault="00E238FE" w:rsidP="00D75DD2">
            <w:pPr>
              <w:spacing w:line="240" w:lineRule="auto"/>
              <w:jc w:val="both"/>
              <w:rPr>
                <w:rFonts w:ascii="Times New Roman" w:hAnsi="Times New Roman"/>
                <w:b/>
              </w:rPr>
            </w:pPr>
            <w:r w:rsidRPr="002269DF">
              <w:rPr>
                <w:rFonts w:ascii="Times New Roman" w:hAnsi="Times New Roman"/>
                <w:b/>
              </w:rPr>
              <w:t>- w zakresie podatków lokalnych i majątkowych:</w:t>
            </w:r>
          </w:p>
          <w:p w14:paraId="29DC595D" w14:textId="77777777" w:rsidR="00E238FE" w:rsidRPr="002269DF" w:rsidRDefault="00E238FE" w:rsidP="006E28AB">
            <w:pPr>
              <w:spacing w:after="120" w:line="240" w:lineRule="auto"/>
              <w:jc w:val="both"/>
              <w:rPr>
                <w:rFonts w:ascii="Times New Roman" w:hAnsi="Times New Roman"/>
              </w:rPr>
            </w:pPr>
            <w:r w:rsidRPr="002269DF">
              <w:rPr>
                <w:rFonts w:ascii="Times New Roman" w:hAnsi="Times New Roman"/>
              </w:rPr>
              <w:t>Uproszczenie wypełniania obowiązków podatkowych oraz zmniejszenie kosztów obsługi deklaracji po stronie przedsiębiorców i organów podatkowych.</w:t>
            </w:r>
          </w:p>
          <w:p w14:paraId="055D08F9" w14:textId="77777777" w:rsidR="00E238FE" w:rsidRPr="002269DF" w:rsidRDefault="00E238FE" w:rsidP="00D75DD2">
            <w:pPr>
              <w:spacing w:line="240" w:lineRule="auto"/>
              <w:jc w:val="both"/>
              <w:rPr>
                <w:rFonts w:ascii="Times New Roman" w:hAnsi="Times New Roman"/>
                <w:b/>
              </w:rPr>
            </w:pPr>
            <w:r w:rsidRPr="002269DF">
              <w:rPr>
                <w:rFonts w:ascii="Times New Roman" w:hAnsi="Times New Roman"/>
                <w:b/>
              </w:rPr>
              <w:t>- w zakresie podatków dochodowych:</w:t>
            </w:r>
          </w:p>
          <w:p w14:paraId="5D2DF72C" w14:textId="77777777" w:rsidR="00E238FE" w:rsidRPr="002269DF" w:rsidRDefault="00E238FE" w:rsidP="00D75DD2">
            <w:pPr>
              <w:spacing w:line="240" w:lineRule="auto"/>
              <w:jc w:val="both"/>
              <w:rPr>
                <w:rFonts w:ascii="Times New Roman" w:hAnsi="Times New Roman"/>
              </w:rPr>
            </w:pPr>
            <w:r w:rsidRPr="002269DF">
              <w:rPr>
                <w:rFonts w:ascii="Times New Roman" w:hAnsi="Times New Roman"/>
              </w:rPr>
              <w:t>Likwidacja niektórych obowiązków informacyjnych dla przedsiębiorców.</w:t>
            </w:r>
          </w:p>
          <w:p w14:paraId="47702E19" w14:textId="77777777" w:rsidR="00E238FE" w:rsidRPr="002269DF" w:rsidRDefault="00E238FE" w:rsidP="004C3BE6">
            <w:pPr>
              <w:spacing w:before="120" w:line="240" w:lineRule="auto"/>
              <w:jc w:val="both"/>
              <w:rPr>
                <w:rFonts w:ascii="Times New Roman" w:hAnsi="Times New Roman"/>
                <w:b/>
              </w:rPr>
            </w:pPr>
            <w:r w:rsidRPr="002269DF">
              <w:rPr>
                <w:rFonts w:ascii="Times New Roman" w:hAnsi="Times New Roman"/>
                <w:b/>
              </w:rPr>
              <w:t>- w zakresie ustawy o rachunkowości:</w:t>
            </w:r>
          </w:p>
          <w:p w14:paraId="35A54A20" w14:textId="77777777" w:rsidR="00E238FE" w:rsidRPr="002269DF" w:rsidRDefault="00E238FE" w:rsidP="004C3BE6">
            <w:pPr>
              <w:spacing w:line="240" w:lineRule="auto"/>
              <w:jc w:val="both"/>
              <w:rPr>
                <w:rFonts w:ascii="Times New Roman" w:hAnsi="Times New Roman"/>
              </w:rPr>
            </w:pPr>
            <w:r w:rsidRPr="002269DF">
              <w:rPr>
                <w:rFonts w:ascii="Times New Roman" w:hAnsi="Times New Roman"/>
              </w:rPr>
              <w:t xml:space="preserve">Większa liczba przedsiębiorców będzie mogła korzystać z uproszczeń. </w:t>
            </w:r>
          </w:p>
          <w:p w14:paraId="21198DAF" w14:textId="77777777" w:rsidR="00E238FE" w:rsidRPr="002269DF" w:rsidRDefault="00E238FE" w:rsidP="004C3BE6">
            <w:pPr>
              <w:spacing w:before="120" w:line="240" w:lineRule="auto"/>
              <w:jc w:val="both"/>
              <w:rPr>
                <w:rFonts w:ascii="Times New Roman" w:hAnsi="Times New Roman"/>
                <w:b/>
              </w:rPr>
            </w:pPr>
            <w:r w:rsidRPr="002269DF">
              <w:rPr>
                <w:rFonts w:ascii="Times New Roman" w:hAnsi="Times New Roman"/>
                <w:b/>
              </w:rPr>
              <w:t>- w zakresie ustawy o administrowaniu obrotem</w:t>
            </w:r>
            <w:r w:rsidR="008A0EB4" w:rsidRPr="002269DF">
              <w:rPr>
                <w:rFonts w:ascii="Times New Roman" w:hAnsi="Times New Roman"/>
                <w:b/>
              </w:rPr>
              <w:t>:</w:t>
            </w:r>
          </w:p>
          <w:p w14:paraId="6C5D472A" w14:textId="41DA542D" w:rsidR="00E238FE" w:rsidRPr="002269DF" w:rsidRDefault="00E238FE" w:rsidP="00573A5F">
            <w:pPr>
              <w:spacing w:line="240" w:lineRule="auto"/>
              <w:jc w:val="both"/>
              <w:rPr>
                <w:rFonts w:ascii="Times New Roman" w:hAnsi="Times New Roman"/>
              </w:rPr>
            </w:pPr>
            <w:r w:rsidRPr="002269DF">
              <w:rPr>
                <w:rFonts w:ascii="Times New Roman" w:hAnsi="Times New Roman"/>
              </w:rPr>
              <w:t>Odstąpienie od obligatoryjnego tłumaczenia przedkładanych dokumentów oraz przedkładania pełnomocnictw do</w:t>
            </w:r>
            <w:r w:rsidR="00D73407">
              <w:rPr>
                <w:rFonts w:ascii="Times New Roman" w:hAnsi="Times New Roman"/>
              </w:rPr>
              <w:t> </w:t>
            </w:r>
            <w:r w:rsidRPr="002269DF">
              <w:rPr>
                <w:rFonts w:ascii="Times New Roman" w:hAnsi="Times New Roman"/>
              </w:rPr>
              <w:t xml:space="preserve">każdego wniosku znacząco zmniejszy liczbę dokumentów oraz pozwoli na skrócenie czasu załatwiania spraw. </w:t>
            </w:r>
          </w:p>
          <w:p w14:paraId="5180193B" w14:textId="77777777" w:rsidR="00CF717C" w:rsidRPr="002269DF" w:rsidRDefault="00CF717C" w:rsidP="00CF717C">
            <w:pPr>
              <w:spacing w:before="120" w:line="240" w:lineRule="auto"/>
              <w:jc w:val="both"/>
              <w:rPr>
                <w:rFonts w:ascii="Times New Roman" w:hAnsi="Times New Roman"/>
                <w:b/>
              </w:rPr>
            </w:pPr>
            <w:r w:rsidRPr="002269DF">
              <w:rPr>
                <w:rFonts w:ascii="Times New Roman" w:hAnsi="Times New Roman"/>
                <w:b/>
              </w:rPr>
              <w:t>- w zakresie ustawy o wychowaniu w trzeźwości i przeciwdziałaniu alkoholizmowi</w:t>
            </w:r>
          </w:p>
          <w:p w14:paraId="04837369" w14:textId="108C6C88" w:rsidR="00E238FE" w:rsidRPr="002269DF" w:rsidRDefault="00CF717C" w:rsidP="00573A5F">
            <w:pPr>
              <w:spacing w:line="240" w:lineRule="auto"/>
              <w:jc w:val="both"/>
              <w:rPr>
                <w:rFonts w:ascii="Times New Roman" w:hAnsi="Times New Roman"/>
              </w:rPr>
            </w:pPr>
            <w:r w:rsidRPr="002269DF">
              <w:rPr>
                <w:rFonts w:ascii="Times New Roman" w:hAnsi="Times New Roman"/>
              </w:rPr>
              <w:t>Odstąpienie od udzielenia odrębnego zezwolenia na hurtowe zaopatrywanie statków, pociągów i samolotów, dla</w:t>
            </w:r>
            <w:r w:rsidR="00D73407">
              <w:rPr>
                <w:rFonts w:ascii="Times New Roman" w:hAnsi="Times New Roman"/>
              </w:rPr>
              <w:t> </w:t>
            </w:r>
            <w:r w:rsidRPr="002269DF">
              <w:rPr>
                <w:rFonts w:ascii="Times New Roman" w:hAnsi="Times New Roman"/>
              </w:rPr>
              <w:t>przedsiębiorców posiadających ogólne zezwolenie na hurtowy obrót napojami alkoholowymi o zawartości powyżej 18% alkoholu zmniejszy liczbę procedur i dokumentów składanych przez przedsiębiorców.</w:t>
            </w:r>
          </w:p>
        </w:tc>
      </w:tr>
      <w:tr w:rsidR="00E238FE" w:rsidRPr="002269DF" w14:paraId="30E2DF7C" w14:textId="77777777" w:rsidTr="00676C8D">
        <w:trPr>
          <w:gridAfter w:val="1"/>
          <w:wAfter w:w="10" w:type="dxa"/>
          <w:trHeight w:val="142"/>
        </w:trPr>
        <w:tc>
          <w:tcPr>
            <w:tcW w:w="10937" w:type="dxa"/>
            <w:gridSpan w:val="29"/>
            <w:shd w:val="clear" w:color="auto" w:fill="99CCFF"/>
          </w:tcPr>
          <w:p w14:paraId="126B13CA" w14:textId="77777777" w:rsidR="00E238FE" w:rsidRPr="002269DF" w:rsidRDefault="00E238FE" w:rsidP="008B3AA3">
            <w:pPr>
              <w:numPr>
                <w:ilvl w:val="0"/>
                <w:numId w:val="1"/>
              </w:numPr>
              <w:spacing w:before="60" w:after="60" w:line="240" w:lineRule="auto"/>
              <w:jc w:val="both"/>
              <w:rPr>
                <w:rFonts w:ascii="Times New Roman" w:hAnsi="Times New Roman"/>
                <w:b/>
              </w:rPr>
            </w:pPr>
            <w:r w:rsidRPr="002269DF">
              <w:rPr>
                <w:rFonts w:ascii="Times New Roman" w:hAnsi="Times New Roman"/>
                <w:b/>
              </w:rPr>
              <w:t xml:space="preserve">Wpływ na rynek pracy </w:t>
            </w:r>
          </w:p>
        </w:tc>
      </w:tr>
      <w:tr w:rsidR="00E238FE" w:rsidRPr="002269DF" w14:paraId="60FFAB27" w14:textId="77777777" w:rsidTr="00676C8D">
        <w:trPr>
          <w:gridAfter w:val="1"/>
          <w:wAfter w:w="10" w:type="dxa"/>
          <w:trHeight w:val="142"/>
        </w:trPr>
        <w:tc>
          <w:tcPr>
            <w:tcW w:w="10937" w:type="dxa"/>
            <w:gridSpan w:val="29"/>
            <w:shd w:val="clear" w:color="auto" w:fill="auto"/>
          </w:tcPr>
          <w:p w14:paraId="0AA46D3E" w14:textId="77777777" w:rsidR="00E238FE" w:rsidRPr="002269DF" w:rsidRDefault="00E238FE" w:rsidP="00095395">
            <w:pPr>
              <w:spacing w:line="240" w:lineRule="auto"/>
              <w:jc w:val="both"/>
              <w:rPr>
                <w:rFonts w:ascii="Times New Roman" w:hAnsi="Times New Roman"/>
                <w:color w:val="000000"/>
              </w:rPr>
            </w:pPr>
            <w:r w:rsidRPr="002269DF">
              <w:rPr>
                <w:rFonts w:ascii="Times New Roman" w:hAnsi="Times New Roman"/>
                <w:color w:val="000000"/>
              </w:rPr>
              <w:t>Projekt powinien pośrednio pozytywnie wpłynąć na rynek pracy, gdyż rozwój przedsiębiorczości powinien przełożyć się na wzrost zatrudnienia.</w:t>
            </w:r>
          </w:p>
        </w:tc>
      </w:tr>
      <w:tr w:rsidR="00E238FE" w:rsidRPr="002269DF" w14:paraId="39FA6077" w14:textId="77777777" w:rsidTr="00676C8D">
        <w:trPr>
          <w:gridAfter w:val="1"/>
          <w:wAfter w:w="10" w:type="dxa"/>
          <w:trHeight w:val="142"/>
        </w:trPr>
        <w:tc>
          <w:tcPr>
            <w:tcW w:w="10937" w:type="dxa"/>
            <w:gridSpan w:val="29"/>
            <w:shd w:val="clear" w:color="auto" w:fill="99CCFF"/>
          </w:tcPr>
          <w:p w14:paraId="4B55E9E2" w14:textId="77777777" w:rsidR="00E238FE" w:rsidRPr="002269DF" w:rsidRDefault="00E238FE" w:rsidP="008B3AA3">
            <w:pPr>
              <w:numPr>
                <w:ilvl w:val="0"/>
                <w:numId w:val="1"/>
              </w:numPr>
              <w:spacing w:before="60" w:after="60" w:line="240" w:lineRule="auto"/>
              <w:jc w:val="both"/>
              <w:rPr>
                <w:rFonts w:ascii="Times New Roman" w:hAnsi="Times New Roman"/>
                <w:b/>
              </w:rPr>
            </w:pPr>
            <w:r w:rsidRPr="002269DF">
              <w:rPr>
                <w:rFonts w:ascii="Times New Roman" w:hAnsi="Times New Roman"/>
                <w:b/>
              </w:rPr>
              <w:t>Wpływ na pozostałe obszary</w:t>
            </w:r>
          </w:p>
        </w:tc>
      </w:tr>
      <w:tr w:rsidR="00E238FE" w:rsidRPr="002269DF" w14:paraId="216297DC" w14:textId="77777777" w:rsidTr="00BF617B">
        <w:trPr>
          <w:gridAfter w:val="1"/>
          <w:wAfter w:w="10" w:type="dxa"/>
          <w:trHeight w:val="820"/>
        </w:trPr>
        <w:tc>
          <w:tcPr>
            <w:tcW w:w="3547" w:type="dxa"/>
            <w:gridSpan w:val="5"/>
            <w:shd w:val="clear" w:color="auto" w:fill="FFFFFF"/>
          </w:tcPr>
          <w:p w14:paraId="55537525" w14:textId="77777777" w:rsidR="00E238FE" w:rsidRPr="002269DF" w:rsidRDefault="00E238FE" w:rsidP="00D75DD2">
            <w:pPr>
              <w:spacing w:line="240" w:lineRule="auto"/>
              <w:rPr>
                <w:rFonts w:ascii="Times New Roman" w:hAnsi="Times New Roman"/>
                <w:spacing w:val="-2"/>
              </w:rPr>
            </w:pPr>
            <w:r w:rsidRPr="002269DF">
              <w:rPr>
                <w:rFonts w:ascii="Times New Roman" w:hAnsi="Times New Roman"/>
              </w:rPr>
              <w:fldChar w:fldCharType="begin">
                <w:ffData>
                  <w:name w:val=""/>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środowisko naturalne</w:t>
            </w:r>
          </w:p>
          <w:p w14:paraId="7DC1E3F4" w14:textId="77777777" w:rsidR="00E238FE" w:rsidRPr="002269DF" w:rsidRDefault="00E238FE" w:rsidP="00D75DD2">
            <w:pPr>
              <w:spacing w:line="240" w:lineRule="auto"/>
              <w:rPr>
                <w:rFonts w:ascii="Times New Roman" w:hAnsi="Times New Roman"/>
              </w:rPr>
            </w:pPr>
            <w:r w:rsidRPr="002269DF">
              <w:rPr>
                <w:rFonts w:ascii="Times New Roman" w:hAnsi="Times New Roman"/>
              </w:rPr>
              <w:fldChar w:fldCharType="begin">
                <w:ffData>
                  <w:name w:val=""/>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sytuacja i rozwój regionalny</w:t>
            </w:r>
          </w:p>
          <w:p w14:paraId="12530DD7" w14:textId="77777777" w:rsidR="00E238FE" w:rsidRPr="002269DF" w:rsidRDefault="00E238FE" w:rsidP="00D75DD2">
            <w:pPr>
              <w:spacing w:line="240" w:lineRule="auto"/>
              <w:rPr>
                <w:rFonts w:ascii="Times New Roman" w:hAnsi="Times New Roman"/>
                <w:spacing w:val="-2"/>
              </w:rPr>
            </w:pPr>
            <w:r w:rsidRPr="002269DF">
              <w:rPr>
                <w:rFonts w:ascii="Times New Roman" w:hAnsi="Times New Roman"/>
              </w:rPr>
              <w:fldChar w:fldCharType="begin">
                <w:ffData>
                  <w:name w:val="Wybór1"/>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 xml:space="preserve">inne: </w:t>
            </w:r>
            <w:r w:rsidRPr="002269DF">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2269DF">
              <w:rPr>
                <w:rFonts w:ascii="Times New Roman" w:hAnsi="Times New Roman"/>
              </w:rPr>
              <w:instrText xml:space="preserve"> FORMTEXT </w:instrText>
            </w:r>
            <w:r w:rsidRPr="002269DF">
              <w:rPr>
                <w:rFonts w:ascii="Times New Roman" w:hAnsi="Times New Roman"/>
              </w:rPr>
            </w:r>
            <w:r w:rsidRPr="002269DF">
              <w:rPr>
                <w:rFonts w:ascii="Times New Roman" w:hAnsi="Times New Roman"/>
              </w:rPr>
              <w:fldChar w:fldCharType="separate"/>
            </w:r>
            <w:r w:rsidRPr="002269DF">
              <w:rPr>
                <w:rFonts w:ascii="Times New Roman" w:hAnsi="Times New Roman"/>
                <w:noProof/>
              </w:rPr>
              <w:t> </w:t>
            </w:r>
            <w:r w:rsidRPr="002269DF">
              <w:rPr>
                <w:rFonts w:ascii="Times New Roman" w:hAnsi="Times New Roman"/>
                <w:noProof/>
              </w:rPr>
              <w:t> </w:t>
            </w:r>
            <w:r w:rsidRPr="002269DF">
              <w:rPr>
                <w:rFonts w:ascii="Times New Roman" w:hAnsi="Times New Roman"/>
                <w:noProof/>
              </w:rPr>
              <w:t> </w:t>
            </w:r>
            <w:r w:rsidRPr="002269DF">
              <w:rPr>
                <w:rFonts w:ascii="Times New Roman" w:hAnsi="Times New Roman"/>
                <w:noProof/>
              </w:rPr>
              <w:t> </w:t>
            </w:r>
            <w:r w:rsidRPr="002269DF">
              <w:rPr>
                <w:rFonts w:ascii="Times New Roman" w:hAnsi="Times New Roman"/>
                <w:noProof/>
              </w:rPr>
              <w:t> </w:t>
            </w:r>
            <w:r w:rsidRPr="002269DF">
              <w:rPr>
                <w:rFonts w:ascii="Times New Roman" w:hAnsi="Times New Roman"/>
              </w:rPr>
              <w:fldChar w:fldCharType="end"/>
            </w:r>
          </w:p>
        </w:tc>
        <w:tc>
          <w:tcPr>
            <w:tcW w:w="3687" w:type="dxa"/>
            <w:gridSpan w:val="15"/>
            <w:shd w:val="clear" w:color="auto" w:fill="FFFFFF"/>
          </w:tcPr>
          <w:p w14:paraId="1746B0DF" w14:textId="77777777" w:rsidR="00E238FE" w:rsidRPr="002269DF" w:rsidRDefault="00E238FE" w:rsidP="00D75DD2">
            <w:pPr>
              <w:spacing w:line="240" w:lineRule="auto"/>
              <w:rPr>
                <w:rFonts w:ascii="Times New Roman" w:hAnsi="Times New Roman"/>
                <w:spacing w:val="-2"/>
              </w:rPr>
            </w:pPr>
            <w:r w:rsidRPr="002269DF">
              <w:rPr>
                <w:rFonts w:ascii="Times New Roman" w:hAnsi="Times New Roman"/>
              </w:rPr>
              <w:fldChar w:fldCharType="begin">
                <w:ffData>
                  <w:name w:val="Wybór1"/>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demografia</w:t>
            </w:r>
          </w:p>
          <w:p w14:paraId="0DFC2498" w14:textId="77777777" w:rsidR="00E238FE" w:rsidRPr="002269DF" w:rsidRDefault="00E238FE" w:rsidP="00D75DD2">
            <w:pPr>
              <w:spacing w:line="240" w:lineRule="auto"/>
              <w:rPr>
                <w:rFonts w:ascii="Times New Roman" w:hAnsi="Times New Roman"/>
              </w:rPr>
            </w:pPr>
            <w:r w:rsidRPr="002269DF">
              <w:rPr>
                <w:rFonts w:ascii="Times New Roman" w:hAnsi="Times New Roman"/>
              </w:rPr>
              <w:fldChar w:fldCharType="begin">
                <w:ffData>
                  <w:name w:val=""/>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mienie państwowe</w:t>
            </w:r>
          </w:p>
        </w:tc>
        <w:tc>
          <w:tcPr>
            <w:tcW w:w="3703" w:type="dxa"/>
            <w:gridSpan w:val="9"/>
            <w:shd w:val="clear" w:color="auto" w:fill="FFFFFF"/>
          </w:tcPr>
          <w:p w14:paraId="1D149CEF" w14:textId="77777777" w:rsidR="00E238FE" w:rsidRPr="002269DF" w:rsidRDefault="00E238FE" w:rsidP="00D75DD2">
            <w:pPr>
              <w:spacing w:line="240" w:lineRule="auto"/>
              <w:rPr>
                <w:rFonts w:ascii="Times New Roman" w:hAnsi="Times New Roman"/>
                <w:spacing w:val="-2"/>
              </w:rPr>
            </w:pPr>
            <w:r w:rsidRPr="002269DF">
              <w:rPr>
                <w:rFonts w:ascii="Times New Roman" w:hAnsi="Times New Roman"/>
              </w:rPr>
              <w:fldChar w:fldCharType="begin">
                <w:ffData>
                  <w:name w:val=""/>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informatyzacja</w:t>
            </w:r>
          </w:p>
          <w:p w14:paraId="3AD53BC4" w14:textId="77777777" w:rsidR="00E238FE" w:rsidRPr="002269DF" w:rsidRDefault="00E238FE" w:rsidP="00D75DD2">
            <w:pPr>
              <w:spacing w:line="240" w:lineRule="auto"/>
              <w:rPr>
                <w:rFonts w:ascii="Times New Roman" w:hAnsi="Times New Roman"/>
              </w:rPr>
            </w:pPr>
            <w:r w:rsidRPr="002269DF">
              <w:rPr>
                <w:rFonts w:ascii="Times New Roman" w:hAnsi="Times New Roman"/>
              </w:rPr>
              <w:fldChar w:fldCharType="begin">
                <w:ffData>
                  <w:name w:val="Wybór1"/>
                  <w:enabled/>
                  <w:calcOnExit w:val="0"/>
                  <w:checkBox>
                    <w:sizeAuto/>
                    <w:default w:val="0"/>
                  </w:checkBox>
                </w:ffData>
              </w:fldChar>
            </w:r>
            <w:r w:rsidRPr="002269DF">
              <w:rPr>
                <w:rFonts w:ascii="Times New Roman" w:hAnsi="Times New Roman"/>
              </w:rPr>
              <w:instrText xml:space="preserve"> FORMCHECKBOX </w:instrText>
            </w:r>
            <w:r w:rsidR="00EE78F8">
              <w:rPr>
                <w:rFonts w:ascii="Times New Roman" w:hAnsi="Times New Roman"/>
              </w:rPr>
            </w:r>
            <w:r w:rsidR="00EE78F8">
              <w:rPr>
                <w:rFonts w:ascii="Times New Roman" w:hAnsi="Times New Roman"/>
              </w:rPr>
              <w:fldChar w:fldCharType="separate"/>
            </w:r>
            <w:r w:rsidRPr="002269DF">
              <w:rPr>
                <w:rFonts w:ascii="Times New Roman" w:hAnsi="Times New Roman"/>
              </w:rPr>
              <w:fldChar w:fldCharType="end"/>
            </w:r>
            <w:r w:rsidRPr="002269DF">
              <w:rPr>
                <w:rFonts w:ascii="Times New Roman" w:hAnsi="Times New Roman"/>
              </w:rPr>
              <w:t xml:space="preserve"> </w:t>
            </w:r>
            <w:r w:rsidRPr="002269DF">
              <w:rPr>
                <w:rFonts w:ascii="Times New Roman" w:hAnsi="Times New Roman"/>
                <w:spacing w:val="-2"/>
              </w:rPr>
              <w:t>zdrowie</w:t>
            </w:r>
          </w:p>
        </w:tc>
      </w:tr>
      <w:tr w:rsidR="00E238FE" w:rsidRPr="002269DF" w14:paraId="4D107004" w14:textId="77777777" w:rsidTr="006A1F13">
        <w:trPr>
          <w:gridAfter w:val="1"/>
          <w:wAfter w:w="10" w:type="dxa"/>
          <w:trHeight w:val="279"/>
        </w:trPr>
        <w:tc>
          <w:tcPr>
            <w:tcW w:w="2243" w:type="dxa"/>
            <w:gridSpan w:val="3"/>
            <w:shd w:val="clear" w:color="auto" w:fill="FFFFFF"/>
            <w:vAlign w:val="center"/>
          </w:tcPr>
          <w:p w14:paraId="5E689B9A" w14:textId="77777777" w:rsidR="00E238FE" w:rsidRPr="002269DF" w:rsidRDefault="00E238FE" w:rsidP="00D75DD2">
            <w:pPr>
              <w:spacing w:line="240" w:lineRule="auto"/>
              <w:rPr>
                <w:rFonts w:ascii="Times New Roman" w:hAnsi="Times New Roman"/>
              </w:rPr>
            </w:pPr>
            <w:r w:rsidRPr="002269DF">
              <w:rPr>
                <w:rFonts w:ascii="Times New Roman" w:hAnsi="Times New Roman"/>
              </w:rPr>
              <w:t>Omówienie wpływu</w:t>
            </w:r>
          </w:p>
        </w:tc>
        <w:tc>
          <w:tcPr>
            <w:tcW w:w="8694" w:type="dxa"/>
            <w:gridSpan w:val="26"/>
            <w:shd w:val="clear" w:color="auto" w:fill="FFFFFF"/>
            <w:vAlign w:val="center"/>
          </w:tcPr>
          <w:p w14:paraId="6E264420" w14:textId="77777777" w:rsidR="00E238FE" w:rsidRPr="002269DF" w:rsidRDefault="00E238FE" w:rsidP="00A227A7">
            <w:pPr>
              <w:spacing w:line="240" w:lineRule="auto"/>
              <w:jc w:val="both"/>
              <w:rPr>
                <w:rFonts w:ascii="Times New Roman" w:hAnsi="Times New Roman"/>
                <w:spacing w:val="-2"/>
              </w:rPr>
            </w:pPr>
          </w:p>
        </w:tc>
      </w:tr>
      <w:tr w:rsidR="00E238FE" w:rsidRPr="002269DF" w14:paraId="254B2766" w14:textId="77777777" w:rsidTr="00676C8D">
        <w:trPr>
          <w:gridAfter w:val="1"/>
          <w:wAfter w:w="10" w:type="dxa"/>
          <w:trHeight w:val="142"/>
        </w:trPr>
        <w:tc>
          <w:tcPr>
            <w:tcW w:w="10937" w:type="dxa"/>
            <w:gridSpan w:val="29"/>
            <w:shd w:val="clear" w:color="auto" w:fill="99CCFF"/>
          </w:tcPr>
          <w:p w14:paraId="0AA634FB" w14:textId="77777777" w:rsidR="00E238FE" w:rsidRPr="002269DF" w:rsidRDefault="00E238FE" w:rsidP="008B3AA3">
            <w:pPr>
              <w:numPr>
                <w:ilvl w:val="0"/>
                <w:numId w:val="1"/>
              </w:numPr>
              <w:spacing w:before="60" w:after="60" w:line="240" w:lineRule="auto"/>
              <w:ind w:left="318" w:hanging="284"/>
              <w:jc w:val="both"/>
              <w:rPr>
                <w:rFonts w:ascii="Times New Roman" w:hAnsi="Times New Roman"/>
                <w:b/>
              </w:rPr>
            </w:pPr>
            <w:r w:rsidRPr="002269DF">
              <w:rPr>
                <w:rFonts w:ascii="Times New Roman" w:hAnsi="Times New Roman"/>
                <w:b/>
                <w:spacing w:val="-2"/>
              </w:rPr>
              <w:t>Planowane wykonanie przepisów aktu prawnego</w:t>
            </w:r>
          </w:p>
        </w:tc>
      </w:tr>
      <w:tr w:rsidR="00E238FE" w:rsidRPr="002269DF" w14:paraId="7C2973EA" w14:textId="77777777" w:rsidTr="00676C8D">
        <w:trPr>
          <w:gridAfter w:val="1"/>
          <w:wAfter w:w="10" w:type="dxa"/>
          <w:trHeight w:val="142"/>
        </w:trPr>
        <w:tc>
          <w:tcPr>
            <w:tcW w:w="10937" w:type="dxa"/>
            <w:gridSpan w:val="29"/>
            <w:shd w:val="clear" w:color="auto" w:fill="FFFFFF"/>
          </w:tcPr>
          <w:p w14:paraId="4F333FF5" w14:textId="59E99818" w:rsidR="00E238FE" w:rsidRPr="002269DF" w:rsidRDefault="00E238FE" w:rsidP="00DD4A97">
            <w:pPr>
              <w:spacing w:before="120" w:after="120" w:line="240" w:lineRule="auto"/>
              <w:ind w:left="34"/>
              <w:jc w:val="both"/>
              <w:rPr>
                <w:rFonts w:ascii="Times New Roman" w:hAnsi="Times New Roman"/>
                <w:spacing w:val="-2"/>
              </w:rPr>
            </w:pPr>
            <w:r w:rsidRPr="002269DF">
              <w:rPr>
                <w:rFonts w:ascii="Times New Roman" w:hAnsi="Times New Roman"/>
              </w:rPr>
              <w:t>Planuje się, że ustawa wejdzie w życie z dniem 1 stycznia 2018 r</w:t>
            </w:r>
            <w:r w:rsidRPr="002269DF">
              <w:rPr>
                <w:rFonts w:ascii="Times New Roman" w:hAnsi="Times New Roman"/>
                <w:bCs/>
              </w:rPr>
              <w:t>.,</w:t>
            </w:r>
            <w:r w:rsidR="00BB5E8B">
              <w:rPr>
                <w:rFonts w:ascii="Times New Roman" w:hAnsi="Times New Roman"/>
                <w:bCs/>
              </w:rPr>
              <w:t xml:space="preserve"> z wyjątkiem</w:t>
            </w:r>
            <w:r w:rsidR="000513B9">
              <w:rPr>
                <w:rFonts w:ascii="Times New Roman" w:hAnsi="Times New Roman"/>
                <w:bCs/>
              </w:rPr>
              <w:t xml:space="preserve"> zmian w</w:t>
            </w:r>
            <w:r w:rsidR="00BB5E8B">
              <w:rPr>
                <w:rFonts w:ascii="Times New Roman" w:hAnsi="Times New Roman"/>
                <w:bCs/>
              </w:rPr>
              <w:t xml:space="preserve"> </w:t>
            </w:r>
            <w:r w:rsidR="000513B9">
              <w:rPr>
                <w:rFonts w:ascii="Times New Roman" w:hAnsi="Times New Roman"/>
                <w:bCs/>
              </w:rPr>
              <w:t>ustawie</w:t>
            </w:r>
            <w:r w:rsidR="00BB5E8B">
              <w:rPr>
                <w:rFonts w:ascii="Times New Roman" w:hAnsi="Times New Roman"/>
                <w:bCs/>
              </w:rPr>
              <w:t xml:space="preserve"> </w:t>
            </w:r>
            <w:r w:rsidR="00BB5E8B" w:rsidRPr="00BB5E8B">
              <w:rPr>
                <w:rFonts w:ascii="Times New Roman" w:hAnsi="Times New Roman"/>
                <w:bCs/>
              </w:rPr>
              <w:t>o podatku od czynności cywilnoprawnych</w:t>
            </w:r>
            <w:r w:rsidR="00A47024">
              <w:rPr>
                <w:rFonts w:ascii="Times New Roman" w:hAnsi="Times New Roman"/>
                <w:bCs/>
              </w:rPr>
              <w:t xml:space="preserve">, </w:t>
            </w:r>
            <w:r w:rsidR="000513B9">
              <w:rPr>
                <w:rFonts w:ascii="Times New Roman" w:hAnsi="Times New Roman"/>
                <w:bCs/>
              </w:rPr>
              <w:t>które wejdą</w:t>
            </w:r>
            <w:r w:rsidR="00BB5E8B">
              <w:rPr>
                <w:rFonts w:ascii="Times New Roman" w:hAnsi="Times New Roman"/>
                <w:bCs/>
              </w:rPr>
              <w:t xml:space="preserve"> w życie z dniem 1 czerwca 2018 r., </w:t>
            </w:r>
            <w:r w:rsidR="000513B9">
              <w:rPr>
                <w:rFonts w:ascii="Times New Roman" w:hAnsi="Times New Roman"/>
                <w:bCs/>
              </w:rPr>
              <w:t xml:space="preserve">zmian w </w:t>
            </w:r>
            <w:r w:rsidR="00BB5E8B">
              <w:rPr>
                <w:rFonts w:ascii="Times New Roman" w:hAnsi="Times New Roman"/>
                <w:bCs/>
              </w:rPr>
              <w:t>ustaw</w:t>
            </w:r>
            <w:r w:rsidR="000513B9">
              <w:rPr>
                <w:rFonts w:ascii="Times New Roman" w:hAnsi="Times New Roman"/>
                <w:bCs/>
              </w:rPr>
              <w:t>ie</w:t>
            </w:r>
            <w:r w:rsidR="00BB5E8B">
              <w:rPr>
                <w:rFonts w:ascii="Times New Roman" w:hAnsi="Times New Roman"/>
                <w:bCs/>
              </w:rPr>
              <w:t xml:space="preserve"> </w:t>
            </w:r>
            <w:r w:rsidR="00BB5E8B" w:rsidRPr="00BB5E8B">
              <w:rPr>
                <w:rFonts w:ascii="Times New Roman" w:hAnsi="Times New Roman"/>
                <w:bCs/>
              </w:rPr>
              <w:t>o podatku rolnym</w:t>
            </w:r>
            <w:r w:rsidR="00A47024">
              <w:rPr>
                <w:rFonts w:ascii="Times New Roman" w:hAnsi="Times New Roman"/>
                <w:bCs/>
              </w:rPr>
              <w:t>, ustaw</w:t>
            </w:r>
            <w:r w:rsidR="000513B9">
              <w:rPr>
                <w:rFonts w:ascii="Times New Roman" w:hAnsi="Times New Roman"/>
                <w:bCs/>
              </w:rPr>
              <w:t>ie</w:t>
            </w:r>
            <w:r w:rsidR="00A47024">
              <w:rPr>
                <w:rFonts w:ascii="Times New Roman" w:hAnsi="Times New Roman"/>
                <w:bCs/>
              </w:rPr>
              <w:t xml:space="preserve"> </w:t>
            </w:r>
            <w:r w:rsidR="00A47024" w:rsidRPr="00A47024">
              <w:rPr>
                <w:rFonts w:ascii="Times New Roman" w:hAnsi="Times New Roman"/>
                <w:bCs/>
              </w:rPr>
              <w:t>o</w:t>
            </w:r>
            <w:r w:rsidR="00D73407">
              <w:rPr>
                <w:rFonts w:ascii="Times New Roman" w:hAnsi="Times New Roman"/>
                <w:bCs/>
              </w:rPr>
              <w:t> </w:t>
            </w:r>
            <w:r w:rsidR="00A47024" w:rsidRPr="00A47024">
              <w:rPr>
                <w:rFonts w:ascii="Times New Roman" w:hAnsi="Times New Roman"/>
                <w:bCs/>
              </w:rPr>
              <w:t>podatkach i opłatach lokalnych</w:t>
            </w:r>
            <w:r w:rsidR="00A47024">
              <w:rPr>
                <w:rFonts w:ascii="Times New Roman" w:hAnsi="Times New Roman"/>
                <w:bCs/>
              </w:rPr>
              <w:t xml:space="preserve"> oraz ustaw</w:t>
            </w:r>
            <w:r w:rsidR="000513B9">
              <w:rPr>
                <w:rFonts w:ascii="Times New Roman" w:hAnsi="Times New Roman"/>
                <w:bCs/>
              </w:rPr>
              <w:t>ie</w:t>
            </w:r>
            <w:r w:rsidR="00A47024">
              <w:rPr>
                <w:rFonts w:ascii="Times New Roman" w:hAnsi="Times New Roman"/>
                <w:bCs/>
              </w:rPr>
              <w:t xml:space="preserve"> </w:t>
            </w:r>
            <w:r w:rsidR="00A47024" w:rsidRPr="00A47024">
              <w:rPr>
                <w:rFonts w:ascii="Times New Roman" w:hAnsi="Times New Roman"/>
                <w:bCs/>
              </w:rPr>
              <w:t>o podatku leśnym</w:t>
            </w:r>
            <w:r w:rsidR="00A47024">
              <w:rPr>
                <w:rFonts w:ascii="Times New Roman" w:hAnsi="Times New Roman"/>
                <w:bCs/>
              </w:rPr>
              <w:t>, które wchodzą w życie z dniem 1 lipca 2018 r.</w:t>
            </w:r>
            <w:r w:rsidR="00DD4A97">
              <w:rPr>
                <w:rFonts w:ascii="Times New Roman" w:hAnsi="Times New Roman"/>
                <w:bCs/>
              </w:rPr>
              <w:t>,</w:t>
            </w:r>
            <w:r w:rsidR="000513B9">
              <w:rPr>
                <w:rFonts w:ascii="Times New Roman" w:hAnsi="Times New Roman"/>
                <w:bCs/>
              </w:rPr>
              <w:t xml:space="preserve"> </w:t>
            </w:r>
            <w:r w:rsidR="00DD4A97">
              <w:rPr>
                <w:rFonts w:ascii="Times New Roman" w:hAnsi="Times New Roman"/>
                <w:bCs/>
              </w:rPr>
              <w:t>oraz </w:t>
            </w:r>
            <w:r w:rsidR="00D73407">
              <w:rPr>
                <w:rFonts w:ascii="Times New Roman" w:hAnsi="Times New Roman"/>
                <w:bCs/>
              </w:rPr>
              <w:t>w</w:t>
            </w:r>
            <w:r w:rsidR="00DD4A97">
              <w:rPr>
                <w:rFonts w:ascii="Times New Roman" w:hAnsi="Times New Roman"/>
                <w:bCs/>
              </w:rPr>
              <w:t>ybranych zmian w</w:t>
            </w:r>
            <w:r w:rsidR="000513B9">
              <w:rPr>
                <w:rFonts w:ascii="Times New Roman" w:hAnsi="Times New Roman"/>
                <w:bCs/>
              </w:rPr>
              <w:t xml:space="preserve"> </w:t>
            </w:r>
            <w:r w:rsidR="00A47024">
              <w:rPr>
                <w:rFonts w:ascii="Times New Roman" w:hAnsi="Times New Roman"/>
                <w:bCs/>
              </w:rPr>
              <w:t>ustaw</w:t>
            </w:r>
            <w:r w:rsidR="00DD4A97">
              <w:rPr>
                <w:rFonts w:ascii="Times New Roman" w:hAnsi="Times New Roman"/>
                <w:bCs/>
              </w:rPr>
              <w:t>ach</w:t>
            </w:r>
            <w:r w:rsidR="00A47024">
              <w:rPr>
                <w:rFonts w:ascii="Times New Roman" w:hAnsi="Times New Roman"/>
                <w:bCs/>
              </w:rPr>
              <w:t xml:space="preserve"> </w:t>
            </w:r>
            <w:r w:rsidR="00A47024" w:rsidRPr="00A47024">
              <w:rPr>
                <w:rFonts w:ascii="Times New Roman" w:hAnsi="Times New Roman"/>
                <w:bCs/>
              </w:rPr>
              <w:t>o podatku dochodowym od osób fizycznych</w:t>
            </w:r>
            <w:r w:rsidR="00A47024">
              <w:rPr>
                <w:rFonts w:ascii="Times New Roman" w:hAnsi="Times New Roman"/>
                <w:bCs/>
              </w:rPr>
              <w:t xml:space="preserve"> i o podatk</w:t>
            </w:r>
            <w:r w:rsidR="000513B9">
              <w:rPr>
                <w:rFonts w:ascii="Times New Roman" w:hAnsi="Times New Roman"/>
                <w:bCs/>
              </w:rPr>
              <w:t>u dochodowym od osób prawnych</w:t>
            </w:r>
            <w:r w:rsidR="00DD4A97">
              <w:rPr>
                <w:rFonts w:ascii="Times New Roman" w:hAnsi="Times New Roman"/>
                <w:bCs/>
              </w:rPr>
              <w:t xml:space="preserve"> </w:t>
            </w:r>
            <w:r w:rsidR="00D73407">
              <w:rPr>
                <w:rFonts w:ascii="Times New Roman" w:hAnsi="Times New Roman"/>
                <w:bCs/>
              </w:rPr>
              <w:t xml:space="preserve">(zmiany dotyczącego </w:t>
            </w:r>
            <w:r w:rsidR="00DD4A97">
              <w:rPr>
                <w:rFonts w:ascii="Times New Roman" w:hAnsi="Times New Roman"/>
                <w:bCs/>
              </w:rPr>
              <w:t xml:space="preserve">instytucji </w:t>
            </w:r>
            <w:r w:rsidR="00D73407">
              <w:rPr>
                <w:rFonts w:ascii="Times New Roman" w:hAnsi="Times New Roman"/>
                <w:bCs/>
              </w:rPr>
              <w:t>małego podatnika, kosztów uzyskania przychodów i rozliczenia straty)</w:t>
            </w:r>
            <w:r w:rsidR="00DD4A97">
              <w:rPr>
                <w:rFonts w:ascii="Times New Roman" w:hAnsi="Times New Roman"/>
                <w:bCs/>
              </w:rPr>
              <w:t>, które </w:t>
            </w:r>
            <w:r w:rsidR="00D73407">
              <w:rPr>
                <w:rFonts w:ascii="Times New Roman" w:hAnsi="Times New Roman"/>
                <w:bCs/>
              </w:rPr>
              <w:t xml:space="preserve"> </w:t>
            </w:r>
            <w:r w:rsidR="00A47024">
              <w:rPr>
                <w:rFonts w:ascii="Times New Roman" w:hAnsi="Times New Roman"/>
                <w:bCs/>
              </w:rPr>
              <w:t>wejdą w życie z</w:t>
            </w:r>
            <w:r w:rsidR="00D73407">
              <w:rPr>
                <w:rFonts w:ascii="Times New Roman" w:hAnsi="Times New Roman"/>
                <w:bCs/>
              </w:rPr>
              <w:t> </w:t>
            </w:r>
            <w:r w:rsidR="00A47024">
              <w:rPr>
                <w:rFonts w:ascii="Times New Roman" w:hAnsi="Times New Roman"/>
                <w:bCs/>
              </w:rPr>
              <w:t xml:space="preserve">dniem 1 stycznia 2019 r.  </w:t>
            </w:r>
            <w:r w:rsidRPr="002269DF">
              <w:rPr>
                <w:rFonts w:ascii="Times New Roman" w:hAnsi="Times New Roman"/>
                <w:bCs/>
              </w:rPr>
              <w:t xml:space="preserve"> </w:t>
            </w:r>
          </w:p>
        </w:tc>
      </w:tr>
      <w:tr w:rsidR="00E238FE" w:rsidRPr="002269DF" w14:paraId="01556370" w14:textId="77777777" w:rsidTr="00676C8D">
        <w:trPr>
          <w:gridAfter w:val="1"/>
          <w:wAfter w:w="10" w:type="dxa"/>
          <w:trHeight w:val="142"/>
        </w:trPr>
        <w:tc>
          <w:tcPr>
            <w:tcW w:w="10937" w:type="dxa"/>
            <w:gridSpan w:val="29"/>
            <w:shd w:val="clear" w:color="auto" w:fill="99CCFF"/>
          </w:tcPr>
          <w:p w14:paraId="5D50D703" w14:textId="77777777" w:rsidR="00E238FE" w:rsidRPr="002269DF" w:rsidRDefault="00E238FE" w:rsidP="008B3AA3">
            <w:pPr>
              <w:numPr>
                <w:ilvl w:val="0"/>
                <w:numId w:val="1"/>
              </w:numPr>
              <w:spacing w:before="60" w:after="60" w:line="240" w:lineRule="auto"/>
              <w:ind w:left="318" w:hanging="284"/>
              <w:jc w:val="both"/>
              <w:rPr>
                <w:rFonts w:ascii="Times New Roman" w:hAnsi="Times New Roman"/>
                <w:b/>
              </w:rPr>
            </w:pPr>
            <w:r w:rsidRPr="002269DF">
              <w:rPr>
                <w:rFonts w:ascii="Times New Roman" w:hAnsi="Times New Roman"/>
                <w:b/>
              </w:rPr>
              <w:t xml:space="preserve"> </w:t>
            </w:r>
            <w:r w:rsidRPr="002269DF">
              <w:rPr>
                <w:rFonts w:ascii="Times New Roman" w:hAnsi="Times New Roman"/>
                <w:b/>
                <w:spacing w:val="-2"/>
              </w:rPr>
              <w:t>W jaki sposób i kiedy nastąpi ewaluacja efektów projektu oraz jakie mierniki zostaną zastosowane?</w:t>
            </w:r>
          </w:p>
        </w:tc>
      </w:tr>
      <w:tr w:rsidR="00E238FE" w:rsidRPr="002269DF" w14:paraId="1A272EDE" w14:textId="77777777" w:rsidTr="00676C8D">
        <w:trPr>
          <w:gridAfter w:val="1"/>
          <w:wAfter w:w="10" w:type="dxa"/>
          <w:trHeight w:val="142"/>
        </w:trPr>
        <w:tc>
          <w:tcPr>
            <w:tcW w:w="10937" w:type="dxa"/>
            <w:gridSpan w:val="29"/>
            <w:shd w:val="clear" w:color="auto" w:fill="FFFFFF"/>
          </w:tcPr>
          <w:p w14:paraId="43D46EE4" w14:textId="77777777" w:rsidR="00E238FE" w:rsidRPr="002269DF" w:rsidRDefault="00E238FE" w:rsidP="00F74661">
            <w:pPr>
              <w:spacing w:before="120" w:line="240" w:lineRule="auto"/>
              <w:jc w:val="both"/>
              <w:rPr>
                <w:rFonts w:ascii="Times New Roman" w:hAnsi="Times New Roman"/>
              </w:rPr>
            </w:pPr>
            <w:r w:rsidRPr="002269DF">
              <w:rPr>
                <w:rFonts w:ascii="Times New Roman" w:hAnsi="Times New Roman"/>
              </w:rPr>
              <w:t>Przykładowo:</w:t>
            </w:r>
          </w:p>
          <w:p w14:paraId="47AF0B4D" w14:textId="77777777" w:rsidR="00E238FE" w:rsidRPr="002269DF" w:rsidRDefault="00E238FE" w:rsidP="00F74661">
            <w:pPr>
              <w:spacing w:before="120" w:line="240" w:lineRule="auto"/>
              <w:jc w:val="both"/>
              <w:rPr>
                <w:rFonts w:ascii="Times New Roman" w:hAnsi="Times New Roman"/>
                <w:b/>
              </w:rPr>
            </w:pPr>
            <w:r w:rsidRPr="002269DF">
              <w:rPr>
                <w:rFonts w:ascii="Times New Roman" w:hAnsi="Times New Roman"/>
                <w:b/>
              </w:rPr>
              <w:t>- w zakresie podatków dochodowych</w:t>
            </w:r>
          </w:p>
          <w:p w14:paraId="2151728C" w14:textId="77777777" w:rsidR="00E238FE" w:rsidRPr="002269DF" w:rsidRDefault="00E238FE" w:rsidP="00F74661">
            <w:pPr>
              <w:spacing w:before="120" w:line="240" w:lineRule="auto"/>
              <w:jc w:val="both"/>
              <w:rPr>
                <w:rFonts w:ascii="Times New Roman" w:hAnsi="Times New Roman"/>
                <w:color w:val="000000"/>
                <w:spacing w:val="-2"/>
              </w:rPr>
            </w:pPr>
            <w:r w:rsidRPr="002269DF">
              <w:rPr>
                <w:rFonts w:ascii="Times New Roman" w:hAnsi="Times New Roman"/>
                <w:color w:val="000000"/>
                <w:spacing w:val="-2"/>
              </w:rPr>
              <w:lastRenderedPageBreak/>
              <w:t>Zmiany powinny przełożyć się na wskaźniki Polski dot. płatności podatków wykazywane w raporcie „</w:t>
            </w:r>
            <w:proofErr w:type="spellStart"/>
            <w:r w:rsidRPr="002269DF">
              <w:rPr>
                <w:rFonts w:ascii="Times New Roman" w:hAnsi="Times New Roman"/>
                <w:color w:val="000000"/>
                <w:spacing w:val="-2"/>
              </w:rPr>
              <w:t>Doing</w:t>
            </w:r>
            <w:proofErr w:type="spellEnd"/>
            <w:r w:rsidRPr="002269DF">
              <w:rPr>
                <w:rFonts w:ascii="Times New Roman" w:hAnsi="Times New Roman"/>
                <w:color w:val="000000"/>
                <w:spacing w:val="-2"/>
              </w:rPr>
              <w:t xml:space="preserve"> Business” Banku Światowego, w związku z tym nie jest konieczna odrębna ich ewaluacja.</w:t>
            </w:r>
          </w:p>
          <w:p w14:paraId="4CA43C13" w14:textId="77777777" w:rsidR="00E238FE" w:rsidRPr="002269DF" w:rsidRDefault="00E238FE" w:rsidP="00F74661">
            <w:pPr>
              <w:spacing w:before="120" w:line="240" w:lineRule="auto"/>
              <w:jc w:val="both"/>
              <w:rPr>
                <w:rFonts w:ascii="Times New Roman" w:hAnsi="Times New Roman"/>
                <w:b/>
              </w:rPr>
            </w:pPr>
            <w:r w:rsidRPr="002269DF">
              <w:rPr>
                <w:rFonts w:ascii="Times New Roman" w:hAnsi="Times New Roman"/>
                <w:b/>
              </w:rPr>
              <w:t>- w zakresie podatków majątkowych</w:t>
            </w:r>
          </w:p>
          <w:p w14:paraId="53A18F3A" w14:textId="77777777" w:rsidR="00E238FE" w:rsidRPr="002269DF" w:rsidRDefault="00E238FE" w:rsidP="00F74661">
            <w:pPr>
              <w:spacing w:before="120" w:line="240" w:lineRule="auto"/>
              <w:jc w:val="both"/>
              <w:rPr>
                <w:rFonts w:ascii="Times New Roman" w:hAnsi="Times New Roman"/>
              </w:rPr>
            </w:pPr>
            <w:r w:rsidRPr="002269DF">
              <w:rPr>
                <w:rFonts w:ascii="Times New Roman" w:hAnsi="Times New Roman"/>
              </w:rPr>
              <w:t>Ewaluacja efektów projektu w zakresie podatków majątkowych może nastąpić najwcześniej po roku od wejściu w życie ustawy. Miarą efektów wprowadzonych zmian będą dane o liczbie złożonych zbiorczych deklaracji w sprawie podatku od czynności cywilnoprawnych.   </w:t>
            </w:r>
          </w:p>
          <w:p w14:paraId="7800743E" w14:textId="77777777" w:rsidR="00E238FE" w:rsidRPr="002269DF" w:rsidRDefault="00E238FE" w:rsidP="00F74661">
            <w:pPr>
              <w:spacing w:before="120" w:line="240" w:lineRule="auto"/>
              <w:jc w:val="both"/>
              <w:rPr>
                <w:rFonts w:ascii="Times New Roman" w:hAnsi="Times New Roman"/>
                <w:b/>
                <w:spacing w:val="-2"/>
              </w:rPr>
            </w:pPr>
            <w:r w:rsidRPr="002269DF">
              <w:rPr>
                <w:rFonts w:ascii="Times New Roman" w:hAnsi="Times New Roman"/>
                <w:b/>
                <w:spacing w:val="-2"/>
              </w:rPr>
              <w:t>- w zakresie podatku od towarów i usług</w:t>
            </w:r>
          </w:p>
          <w:p w14:paraId="44785600" w14:textId="77777777" w:rsidR="00E238FE" w:rsidRPr="002269DF" w:rsidRDefault="00E238FE" w:rsidP="00573A5F">
            <w:pPr>
              <w:spacing w:before="120" w:line="240" w:lineRule="auto"/>
              <w:jc w:val="both"/>
              <w:rPr>
                <w:rFonts w:ascii="Times New Roman" w:hAnsi="Times New Roman"/>
                <w:spacing w:val="-2"/>
              </w:rPr>
            </w:pPr>
            <w:r w:rsidRPr="002269DF">
              <w:rPr>
                <w:rFonts w:ascii="Times New Roman" w:hAnsi="Times New Roman"/>
                <w:spacing w:val="-2"/>
              </w:rPr>
              <w:t xml:space="preserve">Ewaluacja efektów skrócenia terminu na skorzystanie z „ulgi na złe długi”, dane o liczbie korzystających z tej ulgi. Ocena np. po dwóch latach funkcjonowania, czy zakładane skrócenie terminu jest wystarczające. </w:t>
            </w:r>
          </w:p>
          <w:p w14:paraId="578811FE" w14:textId="174DC045" w:rsidR="00E238FE" w:rsidRPr="002269DF" w:rsidRDefault="00E238FE" w:rsidP="00D73407">
            <w:pPr>
              <w:spacing w:before="120" w:line="240" w:lineRule="auto"/>
              <w:jc w:val="both"/>
              <w:rPr>
                <w:rFonts w:ascii="Times New Roman" w:hAnsi="Times New Roman"/>
                <w:spacing w:val="-2"/>
              </w:rPr>
            </w:pPr>
            <w:r w:rsidRPr="002269DF">
              <w:rPr>
                <w:rFonts w:ascii="Times New Roman" w:hAnsi="Times New Roman"/>
                <w:spacing w:val="-2"/>
              </w:rPr>
              <w:t>Na bieżąco będą analizowane opinie i wnioski dot. funkcjonowania wprowadzonych rozwiązań wynikające np.</w:t>
            </w:r>
            <w:r w:rsidR="00D73407">
              <w:rPr>
                <w:rFonts w:ascii="Times New Roman" w:hAnsi="Times New Roman"/>
                <w:spacing w:val="-2"/>
              </w:rPr>
              <w:t> </w:t>
            </w:r>
            <w:r w:rsidRPr="002269DF">
              <w:rPr>
                <w:rFonts w:ascii="Times New Roman" w:hAnsi="Times New Roman"/>
                <w:spacing w:val="-2"/>
              </w:rPr>
              <w:t>z</w:t>
            </w:r>
            <w:r w:rsidR="00D73407">
              <w:rPr>
                <w:rFonts w:ascii="Times New Roman" w:hAnsi="Times New Roman"/>
                <w:spacing w:val="-2"/>
              </w:rPr>
              <w:t> </w:t>
            </w:r>
            <w:r w:rsidRPr="002269DF">
              <w:rPr>
                <w:rFonts w:ascii="Times New Roman" w:hAnsi="Times New Roman"/>
                <w:spacing w:val="-2"/>
              </w:rPr>
              <w:t xml:space="preserve">postulatów oraz informacji przedstawianych przez przedsiębiorców bądź organizacje reprezentujące przedsiębiorców. </w:t>
            </w:r>
          </w:p>
        </w:tc>
      </w:tr>
      <w:tr w:rsidR="00E238FE" w:rsidRPr="002269DF" w14:paraId="176A3AFD" w14:textId="77777777" w:rsidTr="00676C8D">
        <w:trPr>
          <w:gridAfter w:val="1"/>
          <w:wAfter w:w="10" w:type="dxa"/>
          <w:trHeight w:val="142"/>
        </w:trPr>
        <w:tc>
          <w:tcPr>
            <w:tcW w:w="10937" w:type="dxa"/>
            <w:gridSpan w:val="29"/>
            <w:shd w:val="clear" w:color="auto" w:fill="99CCFF"/>
          </w:tcPr>
          <w:p w14:paraId="6C3DBC35" w14:textId="77777777" w:rsidR="00E238FE" w:rsidRPr="002269DF" w:rsidRDefault="00E238FE" w:rsidP="008B3AA3">
            <w:pPr>
              <w:numPr>
                <w:ilvl w:val="0"/>
                <w:numId w:val="1"/>
              </w:numPr>
              <w:spacing w:before="60" w:after="60" w:line="240" w:lineRule="auto"/>
              <w:ind w:left="318" w:hanging="284"/>
              <w:jc w:val="both"/>
              <w:rPr>
                <w:rFonts w:ascii="Times New Roman" w:hAnsi="Times New Roman"/>
                <w:b/>
                <w:spacing w:val="-2"/>
              </w:rPr>
            </w:pPr>
            <w:r w:rsidRPr="002269DF">
              <w:rPr>
                <w:rFonts w:ascii="Times New Roman" w:hAnsi="Times New Roman"/>
                <w:b/>
                <w:spacing w:val="-2"/>
              </w:rPr>
              <w:lastRenderedPageBreak/>
              <w:t xml:space="preserve">Załączniki (istotne dokumenty źródłowe, badania, analizy itp.) </w:t>
            </w:r>
          </w:p>
        </w:tc>
      </w:tr>
      <w:tr w:rsidR="00E238FE" w:rsidRPr="002269DF" w14:paraId="13DB4817" w14:textId="77777777" w:rsidTr="00676C8D">
        <w:trPr>
          <w:gridAfter w:val="1"/>
          <w:wAfter w:w="10" w:type="dxa"/>
          <w:trHeight w:val="142"/>
        </w:trPr>
        <w:tc>
          <w:tcPr>
            <w:tcW w:w="10937" w:type="dxa"/>
            <w:gridSpan w:val="29"/>
            <w:shd w:val="clear" w:color="auto" w:fill="FFFFFF"/>
          </w:tcPr>
          <w:p w14:paraId="6165A797" w14:textId="77777777" w:rsidR="00E238FE" w:rsidRPr="002269DF" w:rsidRDefault="00E238FE" w:rsidP="00D75DD2">
            <w:pPr>
              <w:spacing w:line="240" w:lineRule="auto"/>
              <w:jc w:val="both"/>
              <w:rPr>
                <w:rFonts w:ascii="Times New Roman" w:hAnsi="Times New Roman"/>
                <w:spacing w:val="-2"/>
              </w:rPr>
            </w:pPr>
          </w:p>
        </w:tc>
      </w:tr>
    </w:tbl>
    <w:p w14:paraId="5E6953F9" w14:textId="77777777" w:rsidR="006176ED" w:rsidRPr="002269DF" w:rsidRDefault="006176ED" w:rsidP="00D75DD2">
      <w:pPr>
        <w:pStyle w:val="Nagwek1"/>
        <w:rPr>
          <w:rFonts w:ascii="Times New Roman" w:hAnsi="Times New Roman" w:cs="Times New Roman"/>
          <w:sz w:val="22"/>
          <w:szCs w:val="22"/>
        </w:rPr>
      </w:pPr>
    </w:p>
    <w:sectPr w:rsidR="006176ED" w:rsidRPr="002269DF" w:rsidSect="00725DE7">
      <w:footerReference w:type="default" r:id="rId10"/>
      <w:pgSz w:w="11906" w:h="16838"/>
      <w:pgMar w:top="568" w:right="707" w:bottom="568" w:left="720" w:header="708" w:footer="29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71D526" w15:done="0"/>
  <w15:commentEx w15:paraId="240AD9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20DE8" w14:textId="77777777" w:rsidR="00EE78F8" w:rsidRDefault="00EE78F8" w:rsidP="00044739">
      <w:pPr>
        <w:spacing w:line="240" w:lineRule="auto"/>
      </w:pPr>
      <w:r>
        <w:separator/>
      </w:r>
    </w:p>
  </w:endnote>
  <w:endnote w:type="continuationSeparator" w:id="0">
    <w:p w14:paraId="0E04FF50" w14:textId="77777777" w:rsidR="00EE78F8" w:rsidRDefault="00EE78F8"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108D4" w14:textId="77777777" w:rsidR="00FF10E7" w:rsidRPr="000615BE" w:rsidRDefault="00FF10E7">
    <w:pPr>
      <w:pStyle w:val="Stopka"/>
      <w:jc w:val="right"/>
      <w:rPr>
        <w:rFonts w:ascii="Times New Roman" w:hAnsi="Times New Roman"/>
      </w:rPr>
    </w:pPr>
    <w:r w:rsidRPr="000615BE">
      <w:rPr>
        <w:rFonts w:ascii="Times New Roman" w:hAnsi="Times New Roman"/>
      </w:rPr>
      <w:fldChar w:fldCharType="begin"/>
    </w:r>
    <w:r w:rsidRPr="000615BE">
      <w:rPr>
        <w:rFonts w:ascii="Times New Roman" w:hAnsi="Times New Roman"/>
      </w:rPr>
      <w:instrText>PAGE   \* MERGEFORMAT</w:instrText>
    </w:r>
    <w:r w:rsidRPr="000615BE">
      <w:rPr>
        <w:rFonts w:ascii="Times New Roman" w:hAnsi="Times New Roman"/>
      </w:rPr>
      <w:fldChar w:fldCharType="separate"/>
    </w:r>
    <w:r w:rsidR="00667735">
      <w:rPr>
        <w:rFonts w:ascii="Times New Roman" w:hAnsi="Times New Roman"/>
        <w:noProof/>
      </w:rPr>
      <w:t>25</w:t>
    </w:r>
    <w:r w:rsidRPr="000615BE">
      <w:rPr>
        <w:rFonts w:ascii="Times New Roman" w:hAnsi="Times New Roman"/>
      </w:rPr>
      <w:fldChar w:fldCharType="end"/>
    </w:r>
  </w:p>
  <w:p w14:paraId="676C63DC" w14:textId="77777777" w:rsidR="00FF10E7" w:rsidRPr="000615BE" w:rsidRDefault="00FF10E7">
    <w:pPr>
      <w:pStyle w:val="Stopka"/>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6FFD1" w14:textId="77777777" w:rsidR="00EE78F8" w:rsidRDefault="00EE78F8" w:rsidP="00044739">
      <w:pPr>
        <w:spacing w:line="240" w:lineRule="auto"/>
      </w:pPr>
      <w:r>
        <w:separator/>
      </w:r>
    </w:p>
  </w:footnote>
  <w:footnote w:type="continuationSeparator" w:id="0">
    <w:p w14:paraId="3AEB95E1" w14:textId="77777777" w:rsidR="00EE78F8" w:rsidRDefault="00EE78F8"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3"/>
    <w:multiLevelType w:val="hybridMultilevel"/>
    <w:tmpl w:val="C54219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A4C1A"/>
    <w:multiLevelType w:val="hybridMultilevel"/>
    <w:tmpl w:val="B8C852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277" w:hanging="360"/>
      </w:pPr>
      <w:rPr>
        <w:rFonts w:ascii="Courier New" w:hAnsi="Courier New" w:cs="Courier New" w:hint="default"/>
      </w:rPr>
    </w:lvl>
    <w:lvl w:ilvl="2" w:tplc="04150005" w:tentative="1">
      <w:start w:val="1"/>
      <w:numFmt w:val="bullet"/>
      <w:lvlText w:val=""/>
      <w:lvlJc w:val="left"/>
      <w:pPr>
        <w:ind w:left="1997" w:hanging="360"/>
      </w:pPr>
      <w:rPr>
        <w:rFonts w:ascii="Wingdings" w:hAnsi="Wingdings" w:hint="default"/>
      </w:rPr>
    </w:lvl>
    <w:lvl w:ilvl="3" w:tplc="04150001" w:tentative="1">
      <w:start w:val="1"/>
      <w:numFmt w:val="bullet"/>
      <w:lvlText w:val=""/>
      <w:lvlJc w:val="left"/>
      <w:pPr>
        <w:ind w:left="2717" w:hanging="360"/>
      </w:pPr>
      <w:rPr>
        <w:rFonts w:ascii="Symbol" w:hAnsi="Symbol" w:hint="default"/>
      </w:rPr>
    </w:lvl>
    <w:lvl w:ilvl="4" w:tplc="04150003" w:tentative="1">
      <w:start w:val="1"/>
      <w:numFmt w:val="bullet"/>
      <w:lvlText w:val="o"/>
      <w:lvlJc w:val="left"/>
      <w:pPr>
        <w:ind w:left="3437" w:hanging="360"/>
      </w:pPr>
      <w:rPr>
        <w:rFonts w:ascii="Courier New" w:hAnsi="Courier New" w:cs="Courier New" w:hint="default"/>
      </w:rPr>
    </w:lvl>
    <w:lvl w:ilvl="5" w:tplc="04150005" w:tentative="1">
      <w:start w:val="1"/>
      <w:numFmt w:val="bullet"/>
      <w:lvlText w:val=""/>
      <w:lvlJc w:val="left"/>
      <w:pPr>
        <w:ind w:left="4157" w:hanging="360"/>
      </w:pPr>
      <w:rPr>
        <w:rFonts w:ascii="Wingdings" w:hAnsi="Wingdings" w:hint="default"/>
      </w:rPr>
    </w:lvl>
    <w:lvl w:ilvl="6" w:tplc="04150001" w:tentative="1">
      <w:start w:val="1"/>
      <w:numFmt w:val="bullet"/>
      <w:lvlText w:val=""/>
      <w:lvlJc w:val="left"/>
      <w:pPr>
        <w:ind w:left="4877" w:hanging="360"/>
      </w:pPr>
      <w:rPr>
        <w:rFonts w:ascii="Symbol" w:hAnsi="Symbol" w:hint="default"/>
      </w:rPr>
    </w:lvl>
    <w:lvl w:ilvl="7" w:tplc="04150003" w:tentative="1">
      <w:start w:val="1"/>
      <w:numFmt w:val="bullet"/>
      <w:lvlText w:val="o"/>
      <w:lvlJc w:val="left"/>
      <w:pPr>
        <w:ind w:left="5597" w:hanging="360"/>
      </w:pPr>
      <w:rPr>
        <w:rFonts w:ascii="Courier New" w:hAnsi="Courier New" w:cs="Courier New" w:hint="default"/>
      </w:rPr>
    </w:lvl>
    <w:lvl w:ilvl="8" w:tplc="04150005" w:tentative="1">
      <w:start w:val="1"/>
      <w:numFmt w:val="bullet"/>
      <w:lvlText w:val=""/>
      <w:lvlJc w:val="left"/>
      <w:pPr>
        <w:ind w:left="6317" w:hanging="360"/>
      </w:pPr>
      <w:rPr>
        <w:rFonts w:ascii="Wingdings" w:hAnsi="Wingdings" w:hint="default"/>
      </w:rPr>
    </w:lvl>
  </w:abstractNum>
  <w:abstractNum w:abstractNumId="2">
    <w:nsid w:val="047E0B0F"/>
    <w:multiLevelType w:val="hybridMultilevel"/>
    <w:tmpl w:val="E9225D96"/>
    <w:lvl w:ilvl="0" w:tplc="C8804B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98306B"/>
    <w:multiLevelType w:val="hybridMultilevel"/>
    <w:tmpl w:val="25383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04600"/>
    <w:multiLevelType w:val="hybridMultilevel"/>
    <w:tmpl w:val="BE7AE600"/>
    <w:lvl w:ilvl="0" w:tplc="2982D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FB48A4"/>
    <w:multiLevelType w:val="hybridMultilevel"/>
    <w:tmpl w:val="BE7AE600"/>
    <w:lvl w:ilvl="0" w:tplc="2982D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9241D"/>
    <w:multiLevelType w:val="hybridMultilevel"/>
    <w:tmpl w:val="61543AA8"/>
    <w:lvl w:ilvl="0" w:tplc="CCCE6F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94415B"/>
    <w:multiLevelType w:val="hybridMultilevel"/>
    <w:tmpl w:val="711CD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23CD32E">
      <w:numFmt w:val="bullet"/>
      <w:lvlText w:val="·"/>
      <w:lvlJc w:val="left"/>
      <w:pPr>
        <w:ind w:left="2595" w:hanging="615"/>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5163D"/>
    <w:multiLevelType w:val="hybridMultilevel"/>
    <w:tmpl w:val="5CD48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4D7A9C"/>
    <w:multiLevelType w:val="hybridMultilevel"/>
    <w:tmpl w:val="0E7875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B4693"/>
    <w:multiLevelType w:val="hybridMultilevel"/>
    <w:tmpl w:val="3760EA3A"/>
    <w:lvl w:ilvl="0" w:tplc="0415000F">
      <w:start w:val="1"/>
      <w:numFmt w:val="decimal"/>
      <w:lvlText w:val="%1."/>
      <w:lvlJc w:val="left"/>
      <w:pPr>
        <w:ind w:left="720" w:hanging="360"/>
      </w:pPr>
    </w:lvl>
    <w:lvl w:ilvl="1" w:tplc="0415000F">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D611E1"/>
    <w:multiLevelType w:val="hybridMultilevel"/>
    <w:tmpl w:val="BE7AE600"/>
    <w:lvl w:ilvl="0" w:tplc="2982D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B84E2B"/>
    <w:multiLevelType w:val="hybridMultilevel"/>
    <w:tmpl w:val="BE7AE600"/>
    <w:lvl w:ilvl="0" w:tplc="2982D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235A39"/>
    <w:multiLevelType w:val="hybridMultilevel"/>
    <w:tmpl w:val="3760EA3A"/>
    <w:lvl w:ilvl="0" w:tplc="0415000F">
      <w:start w:val="1"/>
      <w:numFmt w:val="decimal"/>
      <w:lvlText w:val="%1."/>
      <w:lvlJc w:val="left"/>
      <w:pPr>
        <w:ind w:left="720" w:hanging="360"/>
      </w:pPr>
    </w:lvl>
    <w:lvl w:ilvl="1" w:tplc="0415000F">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5A4C20"/>
    <w:multiLevelType w:val="hybridMultilevel"/>
    <w:tmpl w:val="25383D4A"/>
    <w:lvl w:ilvl="0" w:tplc="0415000F">
      <w:start w:val="1"/>
      <w:numFmt w:val="decimal"/>
      <w:lvlText w:val="%1."/>
      <w:lvlJc w:val="left"/>
      <w:pPr>
        <w:ind w:left="720" w:hanging="360"/>
      </w:pPr>
    </w:lvl>
    <w:lvl w:ilvl="1" w:tplc="F4AAB6FA">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C4609F"/>
    <w:multiLevelType w:val="hybridMultilevel"/>
    <w:tmpl w:val="3760EA3A"/>
    <w:lvl w:ilvl="0" w:tplc="0415000F">
      <w:start w:val="1"/>
      <w:numFmt w:val="decimal"/>
      <w:lvlText w:val="%1."/>
      <w:lvlJc w:val="left"/>
      <w:pPr>
        <w:ind w:left="720" w:hanging="360"/>
      </w:pPr>
    </w:lvl>
    <w:lvl w:ilvl="1" w:tplc="0415000F">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DD220D"/>
    <w:multiLevelType w:val="hybridMultilevel"/>
    <w:tmpl w:val="F66C29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F76247"/>
    <w:multiLevelType w:val="hybridMultilevel"/>
    <w:tmpl w:val="0E787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247565"/>
    <w:multiLevelType w:val="hybridMultilevel"/>
    <w:tmpl w:val="DA06BA36"/>
    <w:lvl w:ilvl="0" w:tplc="04150011">
      <w:start w:val="1"/>
      <w:numFmt w:val="decimal"/>
      <w:lvlText w:val="%1)"/>
      <w:lvlJc w:val="left"/>
      <w:pPr>
        <w:ind w:left="720" w:hanging="360"/>
      </w:pPr>
    </w:lvl>
    <w:lvl w:ilvl="1" w:tplc="04150019">
      <w:start w:val="1"/>
      <w:numFmt w:val="lowerLetter"/>
      <w:lvlText w:val="%2."/>
      <w:lvlJc w:val="left"/>
      <w:pPr>
        <w:ind w:left="1440" w:hanging="360"/>
      </w:pPr>
      <w:rPr>
        <w:b w:val="0"/>
      </w:rPr>
    </w:lvl>
    <w:lvl w:ilvl="2" w:tplc="F2D43686">
      <w:start w:val="1"/>
      <w:numFmt w:val="decimal"/>
      <w:lvlText w:val="%3."/>
      <w:lvlJc w:val="left"/>
      <w:pPr>
        <w:ind w:left="2130" w:hanging="15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E54E17"/>
    <w:multiLevelType w:val="hybridMultilevel"/>
    <w:tmpl w:val="1BF25ABE"/>
    <w:lvl w:ilvl="0" w:tplc="A78E61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9953E9"/>
    <w:multiLevelType w:val="hybridMultilevel"/>
    <w:tmpl w:val="BE7AE600"/>
    <w:lvl w:ilvl="0" w:tplc="2982D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B87CCD"/>
    <w:multiLevelType w:val="hybridMultilevel"/>
    <w:tmpl w:val="1BF25ABE"/>
    <w:lvl w:ilvl="0" w:tplc="A78E61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AB6258"/>
    <w:multiLevelType w:val="hybridMultilevel"/>
    <w:tmpl w:val="4EE06322"/>
    <w:lvl w:ilvl="0" w:tplc="2982D4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71744"/>
    <w:multiLevelType w:val="hybridMultilevel"/>
    <w:tmpl w:val="946452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0991BAF"/>
    <w:multiLevelType w:val="hybridMultilevel"/>
    <w:tmpl w:val="BE7AE600"/>
    <w:lvl w:ilvl="0" w:tplc="2982D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FC6C2B"/>
    <w:multiLevelType w:val="hybridMultilevel"/>
    <w:tmpl w:val="E71261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3297143"/>
    <w:multiLevelType w:val="hybridMultilevel"/>
    <w:tmpl w:val="BE7AE600"/>
    <w:lvl w:ilvl="0" w:tplc="2982D4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395EA4"/>
    <w:multiLevelType w:val="hybridMultilevel"/>
    <w:tmpl w:val="5CD48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6E745B"/>
    <w:multiLevelType w:val="hybridMultilevel"/>
    <w:tmpl w:val="401A8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B8B078F"/>
    <w:multiLevelType w:val="hybridMultilevel"/>
    <w:tmpl w:val="5CD48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3D2409"/>
    <w:multiLevelType w:val="hybridMultilevel"/>
    <w:tmpl w:val="2C841F2A"/>
    <w:lvl w:ilvl="0" w:tplc="F4AAB6FA">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4B55E9"/>
    <w:multiLevelType w:val="hybridMultilevel"/>
    <w:tmpl w:val="651410D8"/>
    <w:lvl w:ilvl="0" w:tplc="F4AAB6FA">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B410A0"/>
    <w:multiLevelType w:val="hybridMultilevel"/>
    <w:tmpl w:val="0112846C"/>
    <w:lvl w:ilvl="0" w:tplc="9D94D4C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961A3E"/>
    <w:multiLevelType w:val="hybridMultilevel"/>
    <w:tmpl w:val="3760EA3A"/>
    <w:lvl w:ilvl="0" w:tplc="0415000F">
      <w:start w:val="1"/>
      <w:numFmt w:val="decimal"/>
      <w:lvlText w:val="%1."/>
      <w:lvlJc w:val="left"/>
      <w:pPr>
        <w:ind w:left="720" w:hanging="360"/>
      </w:pPr>
    </w:lvl>
    <w:lvl w:ilvl="1" w:tplc="0415000F">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D50867"/>
    <w:multiLevelType w:val="hybridMultilevel"/>
    <w:tmpl w:val="F702BB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30"/>
  </w:num>
  <w:num w:numId="4">
    <w:abstractNumId w:val="29"/>
  </w:num>
  <w:num w:numId="5">
    <w:abstractNumId w:val="26"/>
  </w:num>
  <w:num w:numId="6">
    <w:abstractNumId w:val="9"/>
  </w:num>
  <w:num w:numId="7">
    <w:abstractNumId w:val="6"/>
  </w:num>
  <w:num w:numId="8">
    <w:abstractNumId w:val="14"/>
  </w:num>
  <w:num w:numId="9">
    <w:abstractNumId w:val="18"/>
  </w:num>
  <w:num w:numId="10">
    <w:abstractNumId w:val="32"/>
  </w:num>
  <w:num w:numId="11">
    <w:abstractNumId w:val="15"/>
  </w:num>
  <w:num w:numId="12">
    <w:abstractNumId w:val="2"/>
  </w:num>
  <w:num w:numId="13">
    <w:abstractNumId w:val="19"/>
  </w:num>
  <w:num w:numId="14">
    <w:abstractNumId w:val="31"/>
  </w:num>
  <w:num w:numId="15">
    <w:abstractNumId w:val="12"/>
  </w:num>
  <w:num w:numId="16">
    <w:abstractNumId w:val="35"/>
  </w:num>
  <w:num w:numId="17">
    <w:abstractNumId w:val="17"/>
  </w:num>
  <w:num w:numId="18">
    <w:abstractNumId w:val="11"/>
  </w:num>
  <w:num w:numId="19">
    <w:abstractNumId w:val="4"/>
  </w:num>
  <w:num w:numId="20">
    <w:abstractNumId w:val="27"/>
  </w:num>
  <w:num w:numId="21">
    <w:abstractNumId w:val="5"/>
  </w:num>
  <w:num w:numId="22">
    <w:abstractNumId w:val="23"/>
  </w:num>
  <w:num w:numId="23">
    <w:abstractNumId w:val="25"/>
  </w:num>
  <w:num w:numId="24">
    <w:abstractNumId w:val="21"/>
  </w:num>
  <w:num w:numId="25">
    <w:abstractNumId w:val="8"/>
  </w:num>
  <w:num w:numId="26">
    <w:abstractNumId w:val="28"/>
  </w:num>
  <w:num w:numId="27">
    <w:abstractNumId w:val="7"/>
  </w:num>
  <w:num w:numId="28">
    <w:abstractNumId w:val="20"/>
  </w:num>
  <w:num w:numId="29">
    <w:abstractNumId w:val="0"/>
  </w:num>
  <w:num w:numId="30">
    <w:abstractNumId w:val="33"/>
  </w:num>
  <w:num w:numId="31">
    <w:abstractNumId w:val="22"/>
  </w:num>
  <w:num w:numId="32">
    <w:abstractNumId w:val="10"/>
  </w:num>
  <w:num w:numId="33">
    <w:abstractNumId w:val="13"/>
  </w:num>
  <w:num w:numId="34">
    <w:abstractNumId w:val="34"/>
  </w:num>
  <w:num w:numId="35">
    <w:abstractNumId w:val="3"/>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oNotTrackFormatting/>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1FE"/>
    <w:rsid w:val="000015EE"/>
    <w:rsid w:val="000022D5"/>
    <w:rsid w:val="00002606"/>
    <w:rsid w:val="000043B1"/>
    <w:rsid w:val="00004C6A"/>
    <w:rsid w:val="00004F18"/>
    <w:rsid w:val="00006CF6"/>
    <w:rsid w:val="00007011"/>
    <w:rsid w:val="000117C2"/>
    <w:rsid w:val="00012D11"/>
    <w:rsid w:val="00013EB5"/>
    <w:rsid w:val="00014270"/>
    <w:rsid w:val="00016188"/>
    <w:rsid w:val="00020543"/>
    <w:rsid w:val="00022932"/>
    <w:rsid w:val="00023836"/>
    <w:rsid w:val="00024D8C"/>
    <w:rsid w:val="000308AA"/>
    <w:rsid w:val="00030BE3"/>
    <w:rsid w:val="00031C16"/>
    <w:rsid w:val="000352F6"/>
    <w:rsid w:val="000356A9"/>
    <w:rsid w:val="00036CA3"/>
    <w:rsid w:val="00044138"/>
    <w:rsid w:val="00044739"/>
    <w:rsid w:val="00044BA8"/>
    <w:rsid w:val="00046DF1"/>
    <w:rsid w:val="00046E7C"/>
    <w:rsid w:val="000479BB"/>
    <w:rsid w:val="000513B9"/>
    <w:rsid w:val="00051637"/>
    <w:rsid w:val="00054127"/>
    <w:rsid w:val="00056681"/>
    <w:rsid w:val="000615BE"/>
    <w:rsid w:val="00061683"/>
    <w:rsid w:val="00062F6B"/>
    <w:rsid w:val="000648A7"/>
    <w:rsid w:val="00064C0A"/>
    <w:rsid w:val="0006618B"/>
    <w:rsid w:val="000670C0"/>
    <w:rsid w:val="0006745D"/>
    <w:rsid w:val="000708CD"/>
    <w:rsid w:val="00070C24"/>
    <w:rsid w:val="00070D7A"/>
    <w:rsid w:val="00071B99"/>
    <w:rsid w:val="00072E7A"/>
    <w:rsid w:val="0007404E"/>
    <w:rsid w:val="000756E5"/>
    <w:rsid w:val="0007704E"/>
    <w:rsid w:val="000770BD"/>
    <w:rsid w:val="00077AEC"/>
    <w:rsid w:val="000802C5"/>
    <w:rsid w:val="00080EC8"/>
    <w:rsid w:val="00080FA4"/>
    <w:rsid w:val="00083CC0"/>
    <w:rsid w:val="00084757"/>
    <w:rsid w:val="00085F9B"/>
    <w:rsid w:val="00087687"/>
    <w:rsid w:val="000914D3"/>
    <w:rsid w:val="00092892"/>
    <w:rsid w:val="00093DBD"/>
    <w:rsid w:val="000944AC"/>
    <w:rsid w:val="00094CB9"/>
    <w:rsid w:val="00095395"/>
    <w:rsid w:val="000956B2"/>
    <w:rsid w:val="00097A09"/>
    <w:rsid w:val="000A23DE"/>
    <w:rsid w:val="000A4020"/>
    <w:rsid w:val="000A7F66"/>
    <w:rsid w:val="000B0F59"/>
    <w:rsid w:val="000B1516"/>
    <w:rsid w:val="000B31FA"/>
    <w:rsid w:val="000B54FB"/>
    <w:rsid w:val="000B6895"/>
    <w:rsid w:val="000B73E6"/>
    <w:rsid w:val="000C0A0E"/>
    <w:rsid w:val="000C1776"/>
    <w:rsid w:val="000C29B0"/>
    <w:rsid w:val="000C39B1"/>
    <w:rsid w:val="000C5582"/>
    <w:rsid w:val="000C76FC"/>
    <w:rsid w:val="000C7ECC"/>
    <w:rsid w:val="000D1625"/>
    <w:rsid w:val="000D1D9D"/>
    <w:rsid w:val="000D34F2"/>
    <w:rsid w:val="000D38FC"/>
    <w:rsid w:val="000D42B1"/>
    <w:rsid w:val="000D4D90"/>
    <w:rsid w:val="000D5BAE"/>
    <w:rsid w:val="000D734F"/>
    <w:rsid w:val="000D7BAB"/>
    <w:rsid w:val="000D7C1E"/>
    <w:rsid w:val="000E170A"/>
    <w:rsid w:val="000E2D10"/>
    <w:rsid w:val="000E3787"/>
    <w:rsid w:val="000E45AC"/>
    <w:rsid w:val="000E4B7C"/>
    <w:rsid w:val="000E6F69"/>
    <w:rsid w:val="000F0759"/>
    <w:rsid w:val="000F1360"/>
    <w:rsid w:val="000F1C99"/>
    <w:rsid w:val="000F3204"/>
    <w:rsid w:val="000F592D"/>
    <w:rsid w:val="00101DC0"/>
    <w:rsid w:val="00102E3A"/>
    <w:rsid w:val="001030FB"/>
    <w:rsid w:val="00104B07"/>
    <w:rsid w:val="0010548B"/>
    <w:rsid w:val="001072D1"/>
    <w:rsid w:val="00112E58"/>
    <w:rsid w:val="00113A93"/>
    <w:rsid w:val="001143D5"/>
    <w:rsid w:val="00114A82"/>
    <w:rsid w:val="00115304"/>
    <w:rsid w:val="00117017"/>
    <w:rsid w:val="00123611"/>
    <w:rsid w:val="00124CB8"/>
    <w:rsid w:val="00130D86"/>
    <w:rsid w:val="00130E8E"/>
    <w:rsid w:val="00131E94"/>
    <w:rsid w:val="0013216E"/>
    <w:rsid w:val="001331C5"/>
    <w:rsid w:val="0013553F"/>
    <w:rsid w:val="00137F65"/>
    <w:rsid w:val="001401B5"/>
    <w:rsid w:val="00140620"/>
    <w:rsid w:val="00141AE5"/>
    <w:rsid w:val="00141E3A"/>
    <w:rsid w:val="001422B9"/>
    <w:rsid w:val="00142A9A"/>
    <w:rsid w:val="0014349C"/>
    <w:rsid w:val="00144E0F"/>
    <w:rsid w:val="0014665F"/>
    <w:rsid w:val="001468AA"/>
    <w:rsid w:val="001478E8"/>
    <w:rsid w:val="00153464"/>
    <w:rsid w:val="001541B3"/>
    <w:rsid w:val="00155339"/>
    <w:rsid w:val="00155A9C"/>
    <w:rsid w:val="00155B15"/>
    <w:rsid w:val="00156E2F"/>
    <w:rsid w:val="00157916"/>
    <w:rsid w:val="0016029D"/>
    <w:rsid w:val="0016081E"/>
    <w:rsid w:val="001625BE"/>
    <w:rsid w:val="001632A8"/>
    <w:rsid w:val="001634AA"/>
    <w:rsid w:val="001643A4"/>
    <w:rsid w:val="0016630A"/>
    <w:rsid w:val="001671B6"/>
    <w:rsid w:val="0016769A"/>
    <w:rsid w:val="00171CD0"/>
    <w:rsid w:val="001727BB"/>
    <w:rsid w:val="00172E36"/>
    <w:rsid w:val="001732A2"/>
    <w:rsid w:val="001736F6"/>
    <w:rsid w:val="00176888"/>
    <w:rsid w:val="00177B1C"/>
    <w:rsid w:val="00177C0D"/>
    <w:rsid w:val="00177F08"/>
    <w:rsid w:val="001809AF"/>
    <w:rsid w:val="00180D25"/>
    <w:rsid w:val="00181B33"/>
    <w:rsid w:val="00182B58"/>
    <w:rsid w:val="0018318D"/>
    <w:rsid w:val="00184323"/>
    <w:rsid w:val="001846E2"/>
    <w:rsid w:val="0018507E"/>
    <w:rsid w:val="00185311"/>
    <w:rsid w:val="0018572C"/>
    <w:rsid w:val="00187AD5"/>
    <w:rsid w:val="00187E79"/>
    <w:rsid w:val="00187F0D"/>
    <w:rsid w:val="0019064E"/>
    <w:rsid w:val="00192CC5"/>
    <w:rsid w:val="00192FF9"/>
    <w:rsid w:val="0019351B"/>
    <w:rsid w:val="0019496D"/>
    <w:rsid w:val="00195577"/>
    <w:rsid w:val="001956A7"/>
    <w:rsid w:val="00195814"/>
    <w:rsid w:val="00195B52"/>
    <w:rsid w:val="00197217"/>
    <w:rsid w:val="001A118A"/>
    <w:rsid w:val="001A27F4"/>
    <w:rsid w:val="001A2D95"/>
    <w:rsid w:val="001A4089"/>
    <w:rsid w:val="001A4398"/>
    <w:rsid w:val="001A4E09"/>
    <w:rsid w:val="001B05C0"/>
    <w:rsid w:val="001B2DCA"/>
    <w:rsid w:val="001B3460"/>
    <w:rsid w:val="001B491B"/>
    <w:rsid w:val="001B4A30"/>
    <w:rsid w:val="001B4CA1"/>
    <w:rsid w:val="001B75D8"/>
    <w:rsid w:val="001B78D7"/>
    <w:rsid w:val="001C1060"/>
    <w:rsid w:val="001C2153"/>
    <w:rsid w:val="001C2C8C"/>
    <w:rsid w:val="001C3C63"/>
    <w:rsid w:val="001C3C72"/>
    <w:rsid w:val="001C4D30"/>
    <w:rsid w:val="001C74F3"/>
    <w:rsid w:val="001C77BE"/>
    <w:rsid w:val="001C7F49"/>
    <w:rsid w:val="001D02B3"/>
    <w:rsid w:val="001D23A9"/>
    <w:rsid w:val="001D2934"/>
    <w:rsid w:val="001D454E"/>
    <w:rsid w:val="001D4732"/>
    <w:rsid w:val="001D6557"/>
    <w:rsid w:val="001D6A3C"/>
    <w:rsid w:val="001D6D51"/>
    <w:rsid w:val="001D7BB2"/>
    <w:rsid w:val="001E2D06"/>
    <w:rsid w:val="001E5301"/>
    <w:rsid w:val="001F6979"/>
    <w:rsid w:val="001F7624"/>
    <w:rsid w:val="00202BC6"/>
    <w:rsid w:val="00202F05"/>
    <w:rsid w:val="00202F4A"/>
    <w:rsid w:val="00205141"/>
    <w:rsid w:val="0020516B"/>
    <w:rsid w:val="00210864"/>
    <w:rsid w:val="00210B3C"/>
    <w:rsid w:val="00211A67"/>
    <w:rsid w:val="00213488"/>
    <w:rsid w:val="00213559"/>
    <w:rsid w:val="00213EFD"/>
    <w:rsid w:val="00216C4A"/>
    <w:rsid w:val="002172F1"/>
    <w:rsid w:val="002179CC"/>
    <w:rsid w:val="00220A2F"/>
    <w:rsid w:val="002210B3"/>
    <w:rsid w:val="002216BD"/>
    <w:rsid w:val="0022176F"/>
    <w:rsid w:val="00221C8B"/>
    <w:rsid w:val="00221DE8"/>
    <w:rsid w:val="00223C7B"/>
    <w:rsid w:val="00223D55"/>
    <w:rsid w:val="00224AB1"/>
    <w:rsid w:val="00225590"/>
    <w:rsid w:val="002262CB"/>
    <w:rsid w:val="0022687A"/>
    <w:rsid w:val="002269DF"/>
    <w:rsid w:val="00230728"/>
    <w:rsid w:val="00230E2F"/>
    <w:rsid w:val="0023168B"/>
    <w:rsid w:val="002332AA"/>
    <w:rsid w:val="002337D0"/>
    <w:rsid w:val="00234040"/>
    <w:rsid w:val="00234358"/>
    <w:rsid w:val="002357C5"/>
    <w:rsid w:val="00235CD2"/>
    <w:rsid w:val="00235E5E"/>
    <w:rsid w:val="002362EC"/>
    <w:rsid w:val="00237059"/>
    <w:rsid w:val="002403BC"/>
    <w:rsid w:val="00240CF6"/>
    <w:rsid w:val="00240E56"/>
    <w:rsid w:val="00241BAA"/>
    <w:rsid w:val="00243F87"/>
    <w:rsid w:val="002448AD"/>
    <w:rsid w:val="00245B26"/>
    <w:rsid w:val="00246BA0"/>
    <w:rsid w:val="00250010"/>
    <w:rsid w:val="0025044A"/>
    <w:rsid w:val="00254224"/>
    <w:rsid w:val="00254DED"/>
    <w:rsid w:val="0025542B"/>
    <w:rsid w:val="00255619"/>
    <w:rsid w:val="00255D2B"/>
    <w:rsid w:val="00255DAD"/>
    <w:rsid w:val="00256108"/>
    <w:rsid w:val="00257169"/>
    <w:rsid w:val="00260D1A"/>
    <w:rsid w:val="00260F33"/>
    <w:rsid w:val="002613BD"/>
    <w:rsid w:val="002624F1"/>
    <w:rsid w:val="00262ACB"/>
    <w:rsid w:val="002635BC"/>
    <w:rsid w:val="00263DA3"/>
    <w:rsid w:val="00263F5C"/>
    <w:rsid w:val="00264B51"/>
    <w:rsid w:val="002661D4"/>
    <w:rsid w:val="0026642E"/>
    <w:rsid w:val="0026658A"/>
    <w:rsid w:val="00267006"/>
    <w:rsid w:val="00270C81"/>
    <w:rsid w:val="00271558"/>
    <w:rsid w:val="00271E01"/>
    <w:rsid w:val="002723A2"/>
    <w:rsid w:val="00274550"/>
    <w:rsid w:val="0027470B"/>
    <w:rsid w:val="00274862"/>
    <w:rsid w:val="00275450"/>
    <w:rsid w:val="00275DC9"/>
    <w:rsid w:val="002762CC"/>
    <w:rsid w:val="00276FD7"/>
    <w:rsid w:val="002808DC"/>
    <w:rsid w:val="00280FCE"/>
    <w:rsid w:val="00281318"/>
    <w:rsid w:val="00282D12"/>
    <w:rsid w:val="00282D72"/>
    <w:rsid w:val="00283402"/>
    <w:rsid w:val="002849B7"/>
    <w:rsid w:val="00287BCD"/>
    <w:rsid w:val="00290FD6"/>
    <w:rsid w:val="002918B6"/>
    <w:rsid w:val="0029211D"/>
    <w:rsid w:val="00294259"/>
    <w:rsid w:val="00294402"/>
    <w:rsid w:val="00297930"/>
    <w:rsid w:val="002A07A0"/>
    <w:rsid w:val="002A14FD"/>
    <w:rsid w:val="002A16E2"/>
    <w:rsid w:val="002A2827"/>
    <w:rsid w:val="002A2C81"/>
    <w:rsid w:val="002A34A8"/>
    <w:rsid w:val="002A417D"/>
    <w:rsid w:val="002A5B40"/>
    <w:rsid w:val="002B1000"/>
    <w:rsid w:val="002B2D89"/>
    <w:rsid w:val="002B3D1A"/>
    <w:rsid w:val="002B5356"/>
    <w:rsid w:val="002B712C"/>
    <w:rsid w:val="002C022A"/>
    <w:rsid w:val="002C23E7"/>
    <w:rsid w:val="002C2C9B"/>
    <w:rsid w:val="002C6969"/>
    <w:rsid w:val="002C6972"/>
    <w:rsid w:val="002C6B15"/>
    <w:rsid w:val="002D0475"/>
    <w:rsid w:val="002D04CF"/>
    <w:rsid w:val="002D17D6"/>
    <w:rsid w:val="002D18D7"/>
    <w:rsid w:val="002D21CE"/>
    <w:rsid w:val="002D2A49"/>
    <w:rsid w:val="002D42A3"/>
    <w:rsid w:val="002D7986"/>
    <w:rsid w:val="002E3055"/>
    <w:rsid w:val="002E3DA3"/>
    <w:rsid w:val="002E450F"/>
    <w:rsid w:val="002E51BA"/>
    <w:rsid w:val="002E6B38"/>
    <w:rsid w:val="002E6D63"/>
    <w:rsid w:val="002E6E2B"/>
    <w:rsid w:val="002E71DB"/>
    <w:rsid w:val="002F0AC5"/>
    <w:rsid w:val="002F0D68"/>
    <w:rsid w:val="002F0E2E"/>
    <w:rsid w:val="002F2E2A"/>
    <w:rsid w:val="002F500B"/>
    <w:rsid w:val="002F5520"/>
    <w:rsid w:val="002F6A09"/>
    <w:rsid w:val="002F6AC2"/>
    <w:rsid w:val="002F7DE9"/>
    <w:rsid w:val="00301959"/>
    <w:rsid w:val="00302FA2"/>
    <w:rsid w:val="00303018"/>
    <w:rsid w:val="00303307"/>
    <w:rsid w:val="0030348E"/>
    <w:rsid w:val="00303DE2"/>
    <w:rsid w:val="00305B8A"/>
    <w:rsid w:val="0030746E"/>
    <w:rsid w:val="00311FDA"/>
    <w:rsid w:val="00314736"/>
    <w:rsid w:val="00314A03"/>
    <w:rsid w:val="00314FB3"/>
    <w:rsid w:val="00315983"/>
    <w:rsid w:val="00315B27"/>
    <w:rsid w:val="003170E0"/>
    <w:rsid w:val="00320940"/>
    <w:rsid w:val="00322F80"/>
    <w:rsid w:val="00323AEF"/>
    <w:rsid w:val="0032610A"/>
    <w:rsid w:val="00331002"/>
    <w:rsid w:val="00331BF9"/>
    <w:rsid w:val="00332512"/>
    <w:rsid w:val="0033361E"/>
    <w:rsid w:val="003336CD"/>
    <w:rsid w:val="0033495E"/>
    <w:rsid w:val="00334A79"/>
    <w:rsid w:val="00334D8D"/>
    <w:rsid w:val="00336383"/>
    <w:rsid w:val="00336ED6"/>
    <w:rsid w:val="00337345"/>
    <w:rsid w:val="00337DD2"/>
    <w:rsid w:val="003404D1"/>
    <w:rsid w:val="00341411"/>
    <w:rsid w:val="00343487"/>
    <w:rsid w:val="003443FF"/>
    <w:rsid w:val="00351E9F"/>
    <w:rsid w:val="00355808"/>
    <w:rsid w:val="00356B40"/>
    <w:rsid w:val="00360008"/>
    <w:rsid w:val="00362C7E"/>
    <w:rsid w:val="00363601"/>
    <w:rsid w:val="00363E35"/>
    <w:rsid w:val="00364BAB"/>
    <w:rsid w:val="00367BDE"/>
    <w:rsid w:val="003745FC"/>
    <w:rsid w:val="00374D8F"/>
    <w:rsid w:val="003762F7"/>
    <w:rsid w:val="00376AC9"/>
    <w:rsid w:val="00376DB6"/>
    <w:rsid w:val="00376FBD"/>
    <w:rsid w:val="00377393"/>
    <w:rsid w:val="003805CA"/>
    <w:rsid w:val="00383185"/>
    <w:rsid w:val="00383676"/>
    <w:rsid w:val="003855FD"/>
    <w:rsid w:val="00386768"/>
    <w:rsid w:val="00392BBF"/>
    <w:rsid w:val="00393032"/>
    <w:rsid w:val="0039304D"/>
    <w:rsid w:val="00394B69"/>
    <w:rsid w:val="003952DF"/>
    <w:rsid w:val="003965E9"/>
    <w:rsid w:val="00396898"/>
    <w:rsid w:val="00397078"/>
    <w:rsid w:val="003A0676"/>
    <w:rsid w:val="003A0A18"/>
    <w:rsid w:val="003A4EF6"/>
    <w:rsid w:val="003A68FD"/>
    <w:rsid w:val="003A6953"/>
    <w:rsid w:val="003B0466"/>
    <w:rsid w:val="003B0E29"/>
    <w:rsid w:val="003B2D71"/>
    <w:rsid w:val="003B3185"/>
    <w:rsid w:val="003B5135"/>
    <w:rsid w:val="003B5556"/>
    <w:rsid w:val="003B6083"/>
    <w:rsid w:val="003B6116"/>
    <w:rsid w:val="003B6520"/>
    <w:rsid w:val="003C0BB0"/>
    <w:rsid w:val="003C3838"/>
    <w:rsid w:val="003C5847"/>
    <w:rsid w:val="003C6ED6"/>
    <w:rsid w:val="003C7596"/>
    <w:rsid w:val="003C7C0D"/>
    <w:rsid w:val="003C7C10"/>
    <w:rsid w:val="003D0681"/>
    <w:rsid w:val="003D12F6"/>
    <w:rsid w:val="003D1426"/>
    <w:rsid w:val="003D3A81"/>
    <w:rsid w:val="003E2CB1"/>
    <w:rsid w:val="003E2F4E"/>
    <w:rsid w:val="003E35C8"/>
    <w:rsid w:val="003E37A6"/>
    <w:rsid w:val="003E401E"/>
    <w:rsid w:val="003E4A25"/>
    <w:rsid w:val="003E5001"/>
    <w:rsid w:val="003E5AD8"/>
    <w:rsid w:val="003E5B0E"/>
    <w:rsid w:val="003E5E66"/>
    <w:rsid w:val="003E720A"/>
    <w:rsid w:val="003F2ECF"/>
    <w:rsid w:val="003F340E"/>
    <w:rsid w:val="003F3FB6"/>
    <w:rsid w:val="003F6475"/>
    <w:rsid w:val="003F6870"/>
    <w:rsid w:val="00401A62"/>
    <w:rsid w:val="0040218C"/>
    <w:rsid w:val="00402ED6"/>
    <w:rsid w:val="00403700"/>
    <w:rsid w:val="00403E6E"/>
    <w:rsid w:val="00405145"/>
    <w:rsid w:val="00411AA6"/>
    <w:rsid w:val="00412163"/>
    <w:rsid w:val="004125C8"/>
    <w:rsid w:val="004129B4"/>
    <w:rsid w:val="00415E21"/>
    <w:rsid w:val="00416E00"/>
    <w:rsid w:val="00417914"/>
    <w:rsid w:val="00417EF0"/>
    <w:rsid w:val="00421AFC"/>
    <w:rsid w:val="00422181"/>
    <w:rsid w:val="00422226"/>
    <w:rsid w:val="004244A8"/>
    <w:rsid w:val="00425F72"/>
    <w:rsid w:val="00427736"/>
    <w:rsid w:val="00431314"/>
    <w:rsid w:val="00431965"/>
    <w:rsid w:val="0043274B"/>
    <w:rsid w:val="0044010D"/>
    <w:rsid w:val="00441787"/>
    <w:rsid w:val="004422B5"/>
    <w:rsid w:val="00442FDC"/>
    <w:rsid w:val="00444F2D"/>
    <w:rsid w:val="0044534D"/>
    <w:rsid w:val="0044635E"/>
    <w:rsid w:val="00452034"/>
    <w:rsid w:val="00453580"/>
    <w:rsid w:val="004548CE"/>
    <w:rsid w:val="00455FA6"/>
    <w:rsid w:val="0046151C"/>
    <w:rsid w:val="004634EF"/>
    <w:rsid w:val="00463FD8"/>
    <w:rsid w:val="004649BD"/>
    <w:rsid w:val="0046636D"/>
    <w:rsid w:val="00466C70"/>
    <w:rsid w:val="00466EEF"/>
    <w:rsid w:val="004676E8"/>
    <w:rsid w:val="004702C9"/>
    <w:rsid w:val="00470CA8"/>
    <w:rsid w:val="00471506"/>
    <w:rsid w:val="00471683"/>
    <w:rsid w:val="00471CCC"/>
    <w:rsid w:val="00472370"/>
    <w:rsid w:val="00472E45"/>
    <w:rsid w:val="00473FEA"/>
    <w:rsid w:val="0047579D"/>
    <w:rsid w:val="00475F97"/>
    <w:rsid w:val="00483262"/>
    <w:rsid w:val="00484107"/>
    <w:rsid w:val="00484A61"/>
    <w:rsid w:val="00485CC5"/>
    <w:rsid w:val="00487539"/>
    <w:rsid w:val="0049009C"/>
    <w:rsid w:val="004912C8"/>
    <w:rsid w:val="00491807"/>
    <w:rsid w:val="0049256D"/>
    <w:rsid w:val="004926B9"/>
    <w:rsid w:val="0049343F"/>
    <w:rsid w:val="004935C7"/>
    <w:rsid w:val="00494F58"/>
    <w:rsid w:val="00495D6D"/>
    <w:rsid w:val="004964FC"/>
    <w:rsid w:val="00497413"/>
    <w:rsid w:val="00497F10"/>
    <w:rsid w:val="004A145E"/>
    <w:rsid w:val="004A1F15"/>
    <w:rsid w:val="004A2A81"/>
    <w:rsid w:val="004A2BAC"/>
    <w:rsid w:val="004A449E"/>
    <w:rsid w:val="004A5F52"/>
    <w:rsid w:val="004A61CE"/>
    <w:rsid w:val="004A6DE7"/>
    <w:rsid w:val="004A7BD7"/>
    <w:rsid w:val="004B1434"/>
    <w:rsid w:val="004B3B7A"/>
    <w:rsid w:val="004B608B"/>
    <w:rsid w:val="004B6C68"/>
    <w:rsid w:val="004B6D34"/>
    <w:rsid w:val="004B6DCA"/>
    <w:rsid w:val="004C15C2"/>
    <w:rsid w:val="004C2B3F"/>
    <w:rsid w:val="004C2C60"/>
    <w:rsid w:val="004C3273"/>
    <w:rsid w:val="004C36D8"/>
    <w:rsid w:val="004C3BE6"/>
    <w:rsid w:val="004C5225"/>
    <w:rsid w:val="004D0C7B"/>
    <w:rsid w:val="004D1248"/>
    <w:rsid w:val="004D1254"/>
    <w:rsid w:val="004D1E3C"/>
    <w:rsid w:val="004D4169"/>
    <w:rsid w:val="004D500C"/>
    <w:rsid w:val="004D5CD9"/>
    <w:rsid w:val="004D6E14"/>
    <w:rsid w:val="004E2336"/>
    <w:rsid w:val="004E3F7E"/>
    <w:rsid w:val="004F04B8"/>
    <w:rsid w:val="004F1B71"/>
    <w:rsid w:val="004F30CB"/>
    <w:rsid w:val="004F31F5"/>
    <w:rsid w:val="004F4E17"/>
    <w:rsid w:val="004F6044"/>
    <w:rsid w:val="004F7DE7"/>
    <w:rsid w:val="0050082F"/>
    <w:rsid w:val="00500C56"/>
    <w:rsid w:val="00501713"/>
    <w:rsid w:val="00501CE5"/>
    <w:rsid w:val="00501D46"/>
    <w:rsid w:val="00506568"/>
    <w:rsid w:val="005075F3"/>
    <w:rsid w:val="005103DE"/>
    <w:rsid w:val="005105B5"/>
    <w:rsid w:val="005113E5"/>
    <w:rsid w:val="0051381F"/>
    <w:rsid w:val="00513974"/>
    <w:rsid w:val="0051551B"/>
    <w:rsid w:val="005156B3"/>
    <w:rsid w:val="00516EFC"/>
    <w:rsid w:val="005207F1"/>
    <w:rsid w:val="00520C57"/>
    <w:rsid w:val="00522D94"/>
    <w:rsid w:val="0052499F"/>
    <w:rsid w:val="00524B96"/>
    <w:rsid w:val="0052573C"/>
    <w:rsid w:val="00526498"/>
    <w:rsid w:val="00527745"/>
    <w:rsid w:val="00530047"/>
    <w:rsid w:val="00530577"/>
    <w:rsid w:val="00531894"/>
    <w:rsid w:val="00531EE5"/>
    <w:rsid w:val="005336AB"/>
    <w:rsid w:val="00533C0B"/>
    <w:rsid w:val="00533D89"/>
    <w:rsid w:val="005342ED"/>
    <w:rsid w:val="00535147"/>
    <w:rsid w:val="00535CA3"/>
    <w:rsid w:val="00535EAB"/>
    <w:rsid w:val="0053614C"/>
    <w:rsid w:val="00536564"/>
    <w:rsid w:val="005373F8"/>
    <w:rsid w:val="0054100D"/>
    <w:rsid w:val="00541039"/>
    <w:rsid w:val="00541777"/>
    <w:rsid w:val="00541F38"/>
    <w:rsid w:val="00542A97"/>
    <w:rsid w:val="00544597"/>
    <w:rsid w:val="00544FFE"/>
    <w:rsid w:val="005473F5"/>
    <w:rsid w:val="005477E7"/>
    <w:rsid w:val="00552794"/>
    <w:rsid w:val="005542FA"/>
    <w:rsid w:val="00554E1E"/>
    <w:rsid w:val="00561459"/>
    <w:rsid w:val="00562008"/>
    <w:rsid w:val="00563199"/>
    <w:rsid w:val="00564874"/>
    <w:rsid w:val="00564B9E"/>
    <w:rsid w:val="0056617E"/>
    <w:rsid w:val="00566211"/>
    <w:rsid w:val="00567963"/>
    <w:rsid w:val="0057009A"/>
    <w:rsid w:val="00571260"/>
    <w:rsid w:val="0057189C"/>
    <w:rsid w:val="005727C3"/>
    <w:rsid w:val="005728B5"/>
    <w:rsid w:val="00573A5F"/>
    <w:rsid w:val="00573FC1"/>
    <w:rsid w:val="005741EE"/>
    <w:rsid w:val="00575A8B"/>
    <w:rsid w:val="0057668E"/>
    <w:rsid w:val="00576A64"/>
    <w:rsid w:val="00580C02"/>
    <w:rsid w:val="00581888"/>
    <w:rsid w:val="0058201E"/>
    <w:rsid w:val="00582B39"/>
    <w:rsid w:val="00582EC6"/>
    <w:rsid w:val="00584BF8"/>
    <w:rsid w:val="005850FE"/>
    <w:rsid w:val="00585179"/>
    <w:rsid w:val="00586001"/>
    <w:rsid w:val="0058675F"/>
    <w:rsid w:val="00587FE6"/>
    <w:rsid w:val="00593DF4"/>
    <w:rsid w:val="00595E83"/>
    <w:rsid w:val="00596111"/>
    <w:rsid w:val="00596530"/>
    <w:rsid w:val="005967F3"/>
    <w:rsid w:val="00597D6A"/>
    <w:rsid w:val="005A06DF"/>
    <w:rsid w:val="005A0A06"/>
    <w:rsid w:val="005A13ED"/>
    <w:rsid w:val="005A1B38"/>
    <w:rsid w:val="005A1C01"/>
    <w:rsid w:val="005A2F1E"/>
    <w:rsid w:val="005A3DAF"/>
    <w:rsid w:val="005A47FF"/>
    <w:rsid w:val="005A4960"/>
    <w:rsid w:val="005A4BFD"/>
    <w:rsid w:val="005A5527"/>
    <w:rsid w:val="005A5AE6"/>
    <w:rsid w:val="005A6C25"/>
    <w:rsid w:val="005A7AC4"/>
    <w:rsid w:val="005B1206"/>
    <w:rsid w:val="005B37E8"/>
    <w:rsid w:val="005B38DA"/>
    <w:rsid w:val="005B46B5"/>
    <w:rsid w:val="005B5BFF"/>
    <w:rsid w:val="005C0056"/>
    <w:rsid w:val="005C4125"/>
    <w:rsid w:val="005C4987"/>
    <w:rsid w:val="005C7900"/>
    <w:rsid w:val="005D0BC4"/>
    <w:rsid w:val="005D1E38"/>
    <w:rsid w:val="005D2F04"/>
    <w:rsid w:val="005D410F"/>
    <w:rsid w:val="005D5853"/>
    <w:rsid w:val="005D64A0"/>
    <w:rsid w:val="005E0D13"/>
    <w:rsid w:val="005E147C"/>
    <w:rsid w:val="005E190A"/>
    <w:rsid w:val="005E465E"/>
    <w:rsid w:val="005E5047"/>
    <w:rsid w:val="005E7205"/>
    <w:rsid w:val="005E7371"/>
    <w:rsid w:val="005F0151"/>
    <w:rsid w:val="005F0864"/>
    <w:rsid w:val="005F116C"/>
    <w:rsid w:val="005F2131"/>
    <w:rsid w:val="005F247D"/>
    <w:rsid w:val="005F3CD0"/>
    <w:rsid w:val="005F6CE7"/>
    <w:rsid w:val="006006D1"/>
    <w:rsid w:val="00600B21"/>
    <w:rsid w:val="0060293C"/>
    <w:rsid w:val="00605EF6"/>
    <w:rsid w:val="00605F52"/>
    <w:rsid w:val="0060606B"/>
    <w:rsid w:val="00606455"/>
    <w:rsid w:val="0061098F"/>
    <w:rsid w:val="00614143"/>
    <w:rsid w:val="006146E5"/>
    <w:rsid w:val="00614929"/>
    <w:rsid w:val="00616511"/>
    <w:rsid w:val="006176ED"/>
    <w:rsid w:val="00617E2A"/>
    <w:rsid w:val="006202CB"/>
    <w:rsid w:val="006202F3"/>
    <w:rsid w:val="00620535"/>
    <w:rsid w:val="0062097A"/>
    <w:rsid w:val="00621756"/>
    <w:rsid w:val="00621DA6"/>
    <w:rsid w:val="006224BD"/>
    <w:rsid w:val="00623CFE"/>
    <w:rsid w:val="006248C4"/>
    <w:rsid w:val="00627221"/>
    <w:rsid w:val="00627577"/>
    <w:rsid w:val="00627EE8"/>
    <w:rsid w:val="006316FA"/>
    <w:rsid w:val="006340FF"/>
    <w:rsid w:val="00636E92"/>
    <w:rsid w:val="006370D2"/>
    <w:rsid w:val="0063737A"/>
    <w:rsid w:val="0064074F"/>
    <w:rsid w:val="00641F55"/>
    <w:rsid w:val="00645E4A"/>
    <w:rsid w:val="006474C8"/>
    <w:rsid w:val="00653688"/>
    <w:rsid w:val="00653C4D"/>
    <w:rsid w:val="00656A60"/>
    <w:rsid w:val="006570E5"/>
    <w:rsid w:val="00657AE3"/>
    <w:rsid w:val="00660630"/>
    <w:rsid w:val="00660841"/>
    <w:rsid w:val="0066091B"/>
    <w:rsid w:val="00660C12"/>
    <w:rsid w:val="00662C7D"/>
    <w:rsid w:val="00664D1C"/>
    <w:rsid w:val="006660E9"/>
    <w:rsid w:val="0066620D"/>
    <w:rsid w:val="00667249"/>
    <w:rsid w:val="00667558"/>
    <w:rsid w:val="00667735"/>
    <w:rsid w:val="00667FA0"/>
    <w:rsid w:val="00670B17"/>
    <w:rsid w:val="00671523"/>
    <w:rsid w:val="00671E6C"/>
    <w:rsid w:val="006723D2"/>
    <w:rsid w:val="00672C0B"/>
    <w:rsid w:val="00672E77"/>
    <w:rsid w:val="006739E2"/>
    <w:rsid w:val="0067416A"/>
    <w:rsid w:val="006754EF"/>
    <w:rsid w:val="00676C8D"/>
    <w:rsid w:val="00676F1F"/>
    <w:rsid w:val="00677381"/>
    <w:rsid w:val="00677414"/>
    <w:rsid w:val="00677774"/>
    <w:rsid w:val="00681062"/>
    <w:rsid w:val="006819ED"/>
    <w:rsid w:val="006832CF"/>
    <w:rsid w:val="00684FB9"/>
    <w:rsid w:val="0068601E"/>
    <w:rsid w:val="006869F5"/>
    <w:rsid w:val="00690CC7"/>
    <w:rsid w:val="00692F82"/>
    <w:rsid w:val="006931E3"/>
    <w:rsid w:val="006946E8"/>
    <w:rsid w:val="0069486B"/>
    <w:rsid w:val="00694C6B"/>
    <w:rsid w:val="00697588"/>
    <w:rsid w:val="006A06C3"/>
    <w:rsid w:val="006A1557"/>
    <w:rsid w:val="006A1F13"/>
    <w:rsid w:val="006A2AF3"/>
    <w:rsid w:val="006A4904"/>
    <w:rsid w:val="006A4E40"/>
    <w:rsid w:val="006A548F"/>
    <w:rsid w:val="006A6710"/>
    <w:rsid w:val="006A6A80"/>
    <w:rsid w:val="006A701A"/>
    <w:rsid w:val="006B07FF"/>
    <w:rsid w:val="006B096C"/>
    <w:rsid w:val="006B2BE0"/>
    <w:rsid w:val="006B2CE7"/>
    <w:rsid w:val="006B2DC0"/>
    <w:rsid w:val="006B64DC"/>
    <w:rsid w:val="006B7A7F"/>
    <w:rsid w:val="006B7A91"/>
    <w:rsid w:val="006C06C4"/>
    <w:rsid w:val="006C1AE8"/>
    <w:rsid w:val="006C1D99"/>
    <w:rsid w:val="006C281B"/>
    <w:rsid w:val="006C301C"/>
    <w:rsid w:val="006C3918"/>
    <w:rsid w:val="006C54D1"/>
    <w:rsid w:val="006C765E"/>
    <w:rsid w:val="006C7AA6"/>
    <w:rsid w:val="006D4704"/>
    <w:rsid w:val="006D67F7"/>
    <w:rsid w:val="006D6A2D"/>
    <w:rsid w:val="006D7745"/>
    <w:rsid w:val="006E05D9"/>
    <w:rsid w:val="006E0D6B"/>
    <w:rsid w:val="006E0ED9"/>
    <w:rsid w:val="006E18F5"/>
    <w:rsid w:val="006E1E18"/>
    <w:rsid w:val="006E2891"/>
    <w:rsid w:val="006E28AB"/>
    <w:rsid w:val="006E31CE"/>
    <w:rsid w:val="006E34D3"/>
    <w:rsid w:val="006F1435"/>
    <w:rsid w:val="006F2049"/>
    <w:rsid w:val="006F219C"/>
    <w:rsid w:val="006F5081"/>
    <w:rsid w:val="006F6F22"/>
    <w:rsid w:val="006F7189"/>
    <w:rsid w:val="006F78C4"/>
    <w:rsid w:val="007031A0"/>
    <w:rsid w:val="00704C50"/>
    <w:rsid w:val="007055E2"/>
    <w:rsid w:val="00705A29"/>
    <w:rsid w:val="00705E34"/>
    <w:rsid w:val="007061FE"/>
    <w:rsid w:val="00706AEB"/>
    <w:rsid w:val="00707498"/>
    <w:rsid w:val="00711A65"/>
    <w:rsid w:val="00711B4E"/>
    <w:rsid w:val="00714133"/>
    <w:rsid w:val="00714CFB"/>
    <w:rsid w:val="00714DA4"/>
    <w:rsid w:val="007158B2"/>
    <w:rsid w:val="00716081"/>
    <w:rsid w:val="0071632A"/>
    <w:rsid w:val="0071708D"/>
    <w:rsid w:val="007170CC"/>
    <w:rsid w:val="007175F9"/>
    <w:rsid w:val="007206DA"/>
    <w:rsid w:val="00720F3B"/>
    <w:rsid w:val="007211F5"/>
    <w:rsid w:val="00722B48"/>
    <w:rsid w:val="00724164"/>
    <w:rsid w:val="00725563"/>
    <w:rsid w:val="007259A6"/>
    <w:rsid w:val="00725DE7"/>
    <w:rsid w:val="0072636A"/>
    <w:rsid w:val="00726917"/>
    <w:rsid w:val="00726B44"/>
    <w:rsid w:val="007318DD"/>
    <w:rsid w:val="00732729"/>
    <w:rsid w:val="00733167"/>
    <w:rsid w:val="00734478"/>
    <w:rsid w:val="00734D0F"/>
    <w:rsid w:val="0073645B"/>
    <w:rsid w:val="00740D2C"/>
    <w:rsid w:val="00743135"/>
    <w:rsid w:val="00744BF9"/>
    <w:rsid w:val="00746C4E"/>
    <w:rsid w:val="00746DBD"/>
    <w:rsid w:val="00751396"/>
    <w:rsid w:val="00752623"/>
    <w:rsid w:val="00752AFC"/>
    <w:rsid w:val="00752D3B"/>
    <w:rsid w:val="00754ECA"/>
    <w:rsid w:val="00754FF0"/>
    <w:rsid w:val="007552CC"/>
    <w:rsid w:val="0075681A"/>
    <w:rsid w:val="00757EA8"/>
    <w:rsid w:val="00760F1F"/>
    <w:rsid w:val="0076130C"/>
    <w:rsid w:val="0076423E"/>
    <w:rsid w:val="007646CB"/>
    <w:rsid w:val="00764BE8"/>
    <w:rsid w:val="007657A0"/>
    <w:rsid w:val="0076658F"/>
    <w:rsid w:val="0077040A"/>
    <w:rsid w:val="007719CB"/>
    <w:rsid w:val="00772D64"/>
    <w:rsid w:val="00772D98"/>
    <w:rsid w:val="007737CC"/>
    <w:rsid w:val="00775413"/>
    <w:rsid w:val="007759CB"/>
    <w:rsid w:val="00783823"/>
    <w:rsid w:val="0078493B"/>
    <w:rsid w:val="007850A6"/>
    <w:rsid w:val="0078628E"/>
    <w:rsid w:val="007868B1"/>
    <w:rsid w:val="007879BB"/>
    <w:rsid w:val="00787AC1"/>
    <w:rsid w:val="00792609"/>
    <w:rsid w:val="007943E2"/>
    <w:rsid w:val="00794F2C"/>
    <w:rsid w:val="00797692"/>
    <w:rsid w:val="007A0037"/>
    <w:rsid w:val="007A08ED"/>
    <w:rsid w:val="007A0D55"/>
    <w:rsid w:val="007A19EC"/>
    <w:rsid w:val="007A1B25"/>
    <w:rsid w:val="007A1F3A"/>
    <w:rsid w:val="007A22C0"/>
    <w:rsid w:val="007A3BC7"/>
    <w:rsid w:val="007A3E3C"/>
    <w:rsid w:val="007A5AC4"/>
    <w:rsid w:val="007A5FCC"/>
    <w:rsid w:val="007A75F2"/>
    <w:rsid w:val="007A77DF"/>
    <w:rsid w:val="007B0161"/>
    <w:rsid w:val="007B0367"/>
    <w:rsid w:val="007B0DAF"/>
    <w:rsid w:val="007B0FDD"/>
    <w:rsid w:val="007B307F"/>
    <w:rsid w:val="007B3E93"/>
    <w:rsid w:val="007B4802"/>
    <w:rsid w:val="007B4F1A"/>
    <w:rsid w:val="007B658D"/>
    <w:rsid w:val="007B6668"/>
    <w:rsid w:val="007B6B33"/>
    <w:rsid w:val="007B7F0C"/>
    <w:rsid w:val="007C16A9"/>
    <w:rsid w:val="007C16F4"/>
    <w:rsid w:val="007C2682"/>
    <w:rsid w:val="007C2701"/>
    <w:rsid w:val="007C2B70"/>
    <w:rsid w:val="007C3081"/>
    <w:rsid w:val="007C3975"/>
    <w:rsid w:val="007C61F1"/>
    <w:rsid w:val="007C7094"/>
    <w:rsid w:val="007C7C0F"/>
    <w:rsid w:val="007D2192"/>
    <w:rsid w:val="007D25CD"/>
    <w:rsid w:val="007D6638"/>
    <w:rsid w:val="007E16B8"/>
    <w:rsid w:val="007E2379"/>
    <w:rsid w:val="007E2A2C"/>
    <w:rsid w:val="007E2CE6"/>
    <w:rsid w:val="007E2F61"/>
    <w:rsid w:val="007E32B4"/>
    <w:rsid w:val="007E3316"/>
    <w:rsid w:val="007E3481"/>
    <w:rsid w:val="007F0021"/>
    <w:rsid w:val="007F1BE6"/>
    <w:rsid w:val="007F2F52"/>
    <w:rsid w:val="007F659B"/>
    <w:rsid w:val="008007B3"/>
    <w:rsid w:val="00800D17"/>
    <w:rsid w:val="00802306"/>
    <w:rsid w:val="00805F28"/>
    <w:rsid w:val="00807208"/>
    <w:rsid w:val="0080749F"/>
    <w:rsid w:val="00807AEB"/>
    <w:rsid w:val="00807F0A"/>
    <w:rsid w:val="00810C32"/>
    <w:rsid w:val="00811D46"/>
    <w:rsid w:val="008125B0"/>
    <w:rsid w:val="008144CB"/>
    <w:rsid w:val="0081459B"/>
    <w:rsid w:val="008149E3"/>
    <w:rsid w:val="008170EA"/>
    <w:rsid w:val="00820AB0"/>
    <w:rsid w:val="00820E5B"/>
    <w:rsid w:val="00821717"/>
    <w:rsid w:val="00821F28"/>
    <w:rsid w:val="00823F86"/>
    <w:rsid w:val="00824210"/>
    <w:rsid w:val="008253CA"/>
    <w:rsid w:val="00825B7C"/>
    <w:rsid w:val="00825E66"/>
    <w:rsid w:val="008263C0"/>
    <w:rsid w:val="00826A94"/>
    <w:rsid w:val="008279F4"/>
    <w:rsid w:val="00831C78"/>
    <w:rsid w:val="00831DC9"/>
    <w:rsid w:val="00833F8A"/>
    <w:rsid w:val="008341A2"/>
    <w:rsid w:val="00834C8C"/>
    <w:rsid w:val="00835114"/>
    <w:rsid w:val="00835E5F"/>
    <w:rsid w:val="00836EBC"/>
    <w:rsid w:val="008401BD"/>
    <w:rsid w:val="00841422"/>
    <w:rsid w:val="00841D3B"/>
    <w:rsid w:val="008427B8"/>
    <w:rsid w:val="00842BF2"/>
    <w:rsid w:val="0084314C"/>
    <w:rsid w:val="00843171"/>
    <w:rsid w:val="0085145E"/>
    <w:rsid w:val="00852582"/>
    <w:rsid w:val="00852720"/>
    <w:rsid w:val="00852A21"/>
    <w:rsid w:val="00852DFF"/>
    <w:rsid w:val="0085347D"/>
    <w:rsid w:val="0085406F"/>
    <w:rsid w:val="008575C3"/>
    <w:rsid w:val="0086203E"/>
    <w:rsid w:val="0086399C"/>
    <w:rsid w:val="00863D28"/>
    <w:rsid w:val="0086446F"/>
    <w:rsid w:val="008648C3"/>
    <w:rsid w:val="008651BE"/>
    <w:rsid w:val="0086566F"/>
    <w:rsid w:val="00867E16"/>
    <w:rsid w:val="00867F40"/>
    <w:rsid w:val="008709D2"/>
    <w:rsid w:val="008712A4"/>
    <w:rsid w:val="00871E6C"/>
    <w:rsid w:val="008734CC"/>
    <w:rsid w:val="00874551"/>
    <w:rsid w:val="00876C3D"/>
    <w:rsid w:val="00880F26"/>
    <w:rsid w:val="00881785"/>
    <w:rsid w:val="00891BA8"/>
    <w:rsid w:val="00892766"/>
    <w:rsid w:val="00892B0F"/>
    <w:rsid w:val="008933DB"/>
    <w:rsid w:val="00895179"/>
    <w:rsid w:val="008957C3"/>
    <w:rsid w:val="00895C45"/>
    <w:rsid w:val="00896C2E"/>
    <w:rsid w:val="008A0EB4"/>
    <w:rsid w:val="008A25DE"/>
    <w:rsid w:val="008A2C6F"/>
    <w:rsid w:val="008A447B"/>
    <w:rsid w:val="008A5095"/>
    <w:rsid w:val="008A608F"/>
    <w:rsid w:val="008A60FE"/>
    <w:rsid w:val="008A7EFB"/>
    <w:rsid w:val="008B1A9A"/>
    <w:rsid w:val="008B3AA3"/>
    <w:rsid w:val="008B3B06"/>
    <w:rsid w:val="008B4A8B"/>
    <w:rsid w:val="008B4FE6"/>
    <w:rsid w:val="008B500C"/>
    <w:rsid w:val="008B53C6"/>
    <w:rsid w:val="008B6C37"/>
    <w:rsid w:val="008B792C"/>
    <w:rsid w:val="008C15EF"/>
    <w:rsid w:val="008C1E78"/>
    <w:rsid w:val="008C26B5"/>
    <w:rsid w:val="008C578C"/>
    <w:rsid w:val="008C6702"/>
    <w:rsid w:val="008C71D1"/>
    <w:rsid w:val="008C7493"/>
    <w:rsid w:val="008D07EF"/>
    <w:rsid w:val="008D2F33"/>
    <w:rsid w:val="008D5324"/>
    <w:rsid w:val="008D6ED0"/>
    <w:rsid w:val="008D70F3"/>
    <w:rsid w:val="008D7D03"/>
    <w:rsid w:val="008E18F7"/>
    <w:rsid w:val="008E1E10"/>
    <w:rsid w:val="008E1E51"/>
    <w:rsid w:val="008E291B"/>
    <w:rsid w:val="008E4F1C"/>
    <w:rsid w:val="008E4F2F"/>
    <w:rsid w:val="008E5103"/>
    <w:rsid w:val="008E6A9D"/>
    <w:rsid w:val="008E7254"/>
    <w:rsid w:val="008E74B0"/>
    <w:rsid w:val="008F2E44"/>
    <w:rsid w:val="008F432C"/>
    <w:rsid w:val="008F5512"/>
    <w:rsid w:val="008F6E6E"/>
    <w:rsid w:val="008F708F"/>
    <w:rsid w:val="009008A8"/>
    <w:rsid w:val="009038B5"/>
    <w:rsid w:val="00903D63"/>
    <w:rsid w:val="009060D1"/>
    <w:rsid w:val="009063B0"/>
    <w:rsid w:val="00907106"/>
    <w:rsid w:val="00907183"/>
    <w:rsid w:val="009073DA"/>
    <w:rsid w:val="009107FD"/>
    <w:rsid w:val="0091137C"/>
    <w:rsid w:val="00911567"/>
    <w:rsid w:val="00912691"/>
    <w:rsid w:val="00914E01"/>
    <w:rsid w:val="00916ABB"/>
    <w:rsid w:val="009173C7"/>
    <w:rsid w:val="0091766C"/>
    <w:rsid w:val="00917AAE"/>
    <w:rsid w:val="00917B69"/>
    <w:rsid w:val="00917F3E"/>
    <w:rsid w:val="00922B65"/>
    <w:rsid w:val="009251A9"/>
    <w:rsid w:val="00925DC3"/>
    <w:rsid w:val="00927881"/>
    <w:rsid w:val="00930699"/>
    <w:rsid w:val="009313DB"/>
    <w:rsid w:val="00931C1D"/>
    <w:rsid w:val="00931F69"/>
    <w:rsid w:val="009323E2"/>
    <w:rsid w:val="009325C2"/>
    <w:rsid w:val="00933E0C"/>
    <w:rsid w:val="00933EAC"/>
    <w:rsid w:val="00934123"/>
    <w:rsid w:val="00934240"/>
    <w:rsid w:val="00934DFE"/>
    <w:rsid w:val="00935100"/>
    <w:rsid w:val="00935A9A"/>
    <w:rsid w:val="00936EC4"/>
    <w:rsid w:val="009422A1"/>
    <w:rsid w:val="00942581"/>
    <w:rsid w:val="009428E3"/>
    <w:rsid w:val="00944D47"/>
    <w:rsid w:val="0094770A"/>
    <w:rsid w:val="0095181C"/>
    <w:rsid w:val="00955774"/>
    <w:rsid w:val="009560B5"/>
    <w:rsid w:val="009575F2"/>
    <w:rsid w:val="00960CA0"/>
    <w:rsid w:val="00962D07"/>
    <w:rsid w:val="009643CE"/>
    <w:rsid w:val="00966694"/>
    <w:rsid w:val="00966F5C"/>
    <w:rsid w:val="009703D6"/>
    <w:rsid w:val="00970495"/>
    <w:rsid w:val="0097181B"/>
    <w:rsid w:val="00971E61"/>
    <w:rsid w:val="0097433C"/>
    <w:rsid w:val="0097437E"/>
    <w:rsid w:val="009758CB"/>
    <w:rsid w:val="00975A3A"/>
    <w:rsid w:val="00976DC5"/>
    <w:rsid w:val="009818C7"/>
    <w:rsid w:val="00982DD4"/>
    <w:rsid w:val="0098375C"/>
    <w:rsid w:val="009841E5"/>
    <w:rsid w:val="0098479F"/>
    <w:rsid w:val="00984A8A"/>
    <w:rsid w:val="009854CA"/>
    <w:rsid w:val="009857B6"/>
    <w:rsid w:val="00985A8D"/>
    <w:rsid w:val="00986610"/>
    <w:rsid w:val="00986DF3"/>
    <w:rsid w:val="009870B0"/>
    <w:rsid w:val="009877DC"/>
    <w:rsid w:val="00987A1A"/>
    <w:rsid w:val="00990E9A"/>
    <w:rsid w:val="00991F96"/>
    <w:rsid w:val="00996F0A"/>
    <w:rsid w:val="0099730B"/>
    <w:rsid w:val="00997755"/>
    <w:rsid w:val="00997B80"/>
    <w:rsid w:val="00997E2C"/>
    <w:rsid w:val="009A042F"/>
    <w:rsid w:val="009A3B35"/>
    <w:rsid w:val="009A3EB5"/>
    <w:rsid w:val="009A4285"/>
    <w:rsid w:val="009A6322"/>
    <w:rsid w:val="009B049C"/>
    <w:rsid w:val="009B0941"/>
    <w:rsid w:val="009B11C8"/>
    <w:rsid w:val="009B294D"/>
    <w:rsid w:val="009B2BCF"/>
    <w:rsid w:val="009B2FF8"/>
    <w:rsid w:val="009B5307"/>
    <w:rsid w:val="009B5BA3"/>
    <w:rsid w:val="009B61D5"/>
    <w:rsid w:val="009B7E89"/>
    <w:rsid w:val="009C2669"/>
    <w:rsid w:val="009C6814"/>
    <w:rsid w:val="009D0027"/>
    <w:rsid w:val="009D0655"/>
    <w:rsid w:val="009D5127"/>
    <w:rsid w:val="009D6713"/>
    <w:rsid w:val="009E1234"/>
    <w:rsid w:val="009E1DEA"/>
    <w:rsid w:val="009E1E98"/>
    <w:rsid w:val="009E2907"/>
    <w:rsid w:val="009E3ABE"/>
    <w:rsid w:val="009E3C4B"/>
    <w:rsid w:val="009E68C9"/>
    <w:rsid w:val="009E7DF7"/>
    <w:rsid w:val="009F0637"/>
    <w:rsid w:val="009F1B14"/>
    <w:rsid w:val="009F3BF5"/>
    <w:rsid w:val="009F47BB"/>
    <w:rsid w:val="009F62A6"/>
    <w:rsid w:val="009F674F"/>
    <w:rsid w:val="009F708E"/>
    <w:rsid w:val="009F799E"/>
    <w:rsid w:val="00A00182"/>
    <w:rsid w:val="00A00D2D"/>
    <w:rsid w:val="00A01680"/>
    <w:rsid w:val="00A018B7"/>
    <w:rsid w:val="00A02020"/>
    <w:rsid w:val="00A04DBD"/>
    <w:rsid w:val="00A054BD"/>
    <w:rsid w:val="00A056CB"/>
    <w:rsid w:val="00A05C06"/>
    <w:rsid w:val="00A07A29"/>
    <w:rsid w:val="00A10103"/>
    <w:rsid w:val="00A10FF1"/>
    <w:rsid w:val="00A12430"/>
    <w:rsid w:val="00A1506B"/>
    <w:rsid w:val="00A15A6F"/>
    <w:rsid w:val="00A16E52"/>
    <w:rsid w:val="00A17CB2"/>
    <w:rsid w:val="00A20E3C"/>
    <w:rsid w:val="00A227A7"/>
    <w:rsid w:val="00A23191"/>
    <w:rsid w:val="00A24020"/>
    <w:rsid w:val="00A243D5"/>
    <w:rsid w:val="00A25E1C"/>
    <w:rsid w:val="00A26A1D"/>
    <w:rsid w:val="00A3018A"/>
    <w:rsid w:val="00A319C0"/>
    <w:rsid w:val="00A33560"/>
    <w:rsid w:val="00A33868"/>
    <w:rsid w:val="00A341D2"/>
    <w:rsid w:val="00A36D1A"/>
    <w:rsid w:val="00A371A5"/>
    <w:rsid w:val="00A37379"/>
    <w:rsid w:val="00A4345B"/>
    <w:rsid w:val="00A4451F"/>
    <w:rsid w:val="00A46912"/>
    <w:rsid w:val="00A47024"/>
    <w:rsid w:val="00A47BDF"/>
    <w:rsid w:val="00A5056B"/>
    <w:rsid w:val="00A51CD7"/>
    <w:rsid w:val="00A52ADB"/>
    <w:rsid w:val="00A533E8"/>
    <w:rsid w:val="00A542D9"/>
    <w:rsid w:val="00A54C41"/>
    <w:rsid w:val="00A55D66"/>
    <w:rsid w:val="00A56BDE"/>
    <w:rsid w:val="00A56E64"/>
    <w:rsid w:val="00A57753"/>
    <w:rsid w:val="00A6148B"/>
    <w:rsid w:val="00A6202F"/>
    <w:rsid w:val="00A624C3"/>
    <w:rsid w:val="00A62528"/>
    <w:rsid w:val="00A63A1B"/>
    <w:rsid w:val="00A6641C"/>
    <w:rsid w:val="00A669A8"/>
    <w:rsid w:val="00A67726"/>
    <w:rsid w:val="00A67901"/>
    <w:rsid w:val="00A67A55"/>
    <w:rsid w:val="00A70D6E"/>
    <w:rsid w:val="00A72330"/>
    <w:rsid w:val="00A724FA"/>
    <w:rsid w:val="00A767D2"/>
    <w:rsid w:val="00A77616"/>
    <w:rsid w:val="00A805DA"/>
    <w:rsid w:val="00A80CE9"/>
    <w:rsid w:val="00A811B4"/>
    <w:rsid w:val="00A83AC4"/>
    <w:rsid w:val="00A84DDB"/>
    <w:rsid w:val="00A86D2D"/>
    <w:rsid w:val="00A870B2"/>
    <w:rsid w:val="00A878B4"/>
    <w:rsid w:val="00A87C95"/>
    <w:rsid w:val="00A87CDE"/>
    <w:rsid w:val="00A90773"/>
    <w:rsid w:val="00A91D3B"/>
    <w:rsid w:val="00A92BAF"/>
    <w:rsid w:val="00A94737"/>
    <w:rsid w:val="00A94BA3"/>
    <w:rsid w:val="00A96CBA"/>
    <w:rsid w:val="00AA01BB"/>
    <w:rsid w:val="00AA0594"/>
    <w:rsid w:val="00AA15AC"/>
    <w:rsid w:val="00AA18F0"/>
    <w:rsid w:val="00AA25A6"/>
    <w:rsid w:val="00AA2FC7"/>
    <w:rsid w:val="00AA4148"/>
    <w:rsid w:val="00AB0185"/>
    <w:rsid w:val="00AB0F04"/>
    <w:rsid w:val="00AB0F2F"/>
    <w:rsid w:val="00AB1400"/>
    <w:rsid w:val="00AB1ACD"/>
    <w:rsid w:val="00AB1D80"/>
    <w:rsid w:val="00AB277F"/>
    <w:rsid w:val="00AB3673"/>
    <w:rsid w:val="00AB4099"/>
    <w:rsid w:val="00AB449A"/>
    <w:rsid w:val="00AB4C6E"/>
    <w:rsid w:val="00AB4F7F"/>
    <w:rsid w:val="00AB5873"/>
    <w:rsid w:val="00AB6114"/>
    <w:rsid w:val="00AB7386"/>
    <w:rsid w:val="00AC22F5"/>
    <w:rsid w:val="00AC38B7"/>
    <w:rsid w:val="00AC538F"/>
    <w:rsid w:val="00AC6973"/>
    <w:rsid w:val="00AC7538"/>
    <w:rsid w:val="00AD14F9"/>
    <w:rsid w:val="00AD35D6"/>
    <w:rsid w:val="00AD3A64"/>
    <w:rsid w:val="00AD58C5"/>
    <w:rsid w:val="00AD78D8"/>
    <w:rsid w:val="00AE020D"/>
    <w:rsid w:val="00AE0CAC"/>
    <w:rsid w:val="00AE16B9"/>
    <w:rsid w:val="00AE21B3"/>
    <w:rsid w:val="00AE22A1"/>
    <w:rsid w:val="00AE36C4"/>
    <w:rsid w:val="00AE472C"/>
    <w:rsid w:val="00AE4D26"/>
    <w:rsid w:val="00AE4D82"/>
    <w:rsid w:val="00AE5375"/>
    <w:rsid w:val="00AE6CF8"/>
    <w:rsid w:val="00AE6F02"/>
    <w:rsid w:val="00AF1783"/>
    <w:rsid w:val="00AF4CAC"/>
    <w:rsid w:val="00AF6149"/>
    <w:rsid w:val="00AF669F"/>
    <w:rsid w:val="00AF7CD1"/>
    <w:rsid w:val="00B00102"/>
    <w:rsid w:val="00B01F9C"/>
    <w:rsid w:val="00B02B05"/>
    <w:rsid w:val="00B02B17"/>
    <w:rsid w:val="00B03E0D"/>
    <w:rsid w:val="00B04848"/>
    <w:rsid w:val="00B054F8"/>
    <w:rsid w:val="00B06387"/>
    <w:rsid w:val="00B0674B"/>
    <w:rsid w:val="00B06F46"/>
    <w:rsid w:val="00B07D60"/>
    <w:rsid w:val="00B131DF"/>
    <w:rsid w:val="00B13F80"/>
    <w:rsid w:val="00B20261"/>
    <w:rsid w:val="00B20EC8"/>
    <w:rsid w:val="00B2219A"/>
    <w:rsid w:val="00B22369"/>
    <w:rsid w:val="00B2352D"/>
    <w:rsid w:val="00B237AE"/>
    <w:rsid w:val="00B2474B"/>
    <w:rsid w:val="00B24ED0"/>
    <w:rsid w:val="00B24EFC"/>
    <w:rsid w:val="00B25B18"/>
    <w:rsid w:val="00B30BEA"/>
    <w:rsid w:val="00B318FF"/>
    <w:rsid w:val="00B31EC6"/>
    <w:rsid w:val="00B3581B"/>
    <w:rsid w:val="00B36828"/>
    <w:rsid w:val="00B36B81"/>
    <w:rsid w:val="00B36FEE"/>
    <w:rsid w:val="00B370F4"/>
    <w:rsid w:val="00B37C80"/>
    <w:rsid w:val="00B37FDE"/>
    <w:rsid w:val="00B44FD4"/>
    <w:rsid w:val="00B45C82"/>
    <w:rsid w:val="00B46156"/>
    <w:rsid w:val="00B4668D"/>
    <w:rsid w:val="00B47318"/>
    <w:rsid w:val="00B5092B"/>
    <w:rsid w:val="00B5124A"/>
    <w:rsid w:val="00B51940"/>
    <w:rsid w:val="00B5194E"/>
    <w:rsid w:val="00B51AF5"/>
    <w:rsid w:val="00B531FC"/>
    <w:rsid w:val="00B55347"/>
    <w:rsid w:val="00B57ABD"/>
    <w:rsid w:val="00B57E5E"/>
    <w:rsid w:val="00B611B9"/>
    <w:rsid w:val="00B61E7F"/>
    <w:rsid w:val="00B61F37"/>
    <w:rsid w:val="00B6226C"/>
    <w:rsid w:val="00B62CA2"/>
    <w:rsid w:val="00B7066F"/>
    <w:rsid w:val="00B7770F"/>
    <w:rsid w:val="00B77A89"/>
    <w:rsid w:val="00B77B27"/>
    <w:rsid w:val="00B77B49"/>
    <w:rsid w:val="00B8134E"/>
    <w:rsid w:val="00B8177F"/>
    <w:rsid w:val="00B817BA"/>
    <w:rsid w:val="00B81B55"/>
    <w:rsid w:val="00B84613"/>
    <w:rsid w:val="00B865C9"/>
    <w:rsid w:val="00B87AF0"/>
    <w:rsid w:val="00B87B3C"/>
    <w:rsid w:val="00B9037B"/>
    <w:rsid w:val="00B90445"/>
    <w:rsid w:val="00B910BD"/>
    <w:rsid w:val="00B93834"/>
    <w:rsid w:val="00B94B88"/>
    <w:rsid w:val="00B95641"/>
    <w:rsid w:val="00B956A7"/>
    <w:rsid w:val="00B96469"/>
    <w:rsid w:val="00B965D2"/>
    <w:rsid w:val="00BA0DA2"/>
    <w:rsid w:val="00BA2981"/>
    <w:rsid w:val="00BA412B"/>
    <w:rsid w:val="00BA48F9"/>
    <w:rsid w:val="00BA4D82"/>
    <w:rsid w:val="00BA5123"/>
    <w:rsid w:val="00BA6A1D"/>
    <w:rsid w:val="00BA6AB4"/>
    <w:rsid w:val="00BB0DCA"/>
    <w:rsid w:val="00BB0FCD"/>
    <w:rsid w:val="00BB3837"/>
    <w:rsid w:val="00BB5E8B"/>
    <w:rsid w:val="00BB6B80"/>
    <w:rsid w:val="00BB768C"/>
    <w:rsid w:val="00BC0273"/>
    <w:rsid w:val="00BC25DB"/>
    <w:rsid w:val="00BC3096"/>
    <w:rsid w:val="00BC3773"/>
    <w:rsid w:val="00BC381A"/>
    <w:rsid w:val="00BC4757"/>
    <w:rsid w:val="00BC4820"/>
    <w:rsid w:val="00BD0962"/>
    <w:rsid w:val="00BD1EED"/>
    <w:rsid w:val="00BD6530"/>
    <w:rsid w:val="00BD71C1"/>
    <w:rsid w:val="00BE2694"/>
    <w:rsid w:val="00BE27C3"/>
    <w:rsid w:val="00BE4F2D"/>
    <w:rsid w:val="00BE63E8"/>
    <w:rsid w:val="00BF0DA2"/>
    <w:rsid w:val="00BF109C"/>
    <w:rsid w:val="00BF173A"/>
    <w:rsid w:val="00BF34FA"/>
    <w:rsid w:val="00BF3B41"/>
    <w:rsid w:val="00BF405C"/>
    <w:rsid w:val="00BF4449"/>
    <w:rsid w:val="00BF4972"/>
    <w:rsid w:val="00BF617B"/>
    <w:rsid w:val="00C004B6"/>
    <w:rsid w:val="00C0156B"/>
    <w:rsid w:val="00C027F1"/>
    <w:rsid w:val="00C043A2"/>
    <w:rsid w:val="00C047A7"/>
    <w:rsid w:val="00C05DE5"/>
    <w:rsid w:val="00C1021A"/>
    <w:rsid w:val="00C1180A"/>
    <w:rsid w:val="00C13669"/>
    <w:rsid w:val="00C13D03"/>
    <w:rsid w:val="00C145FC"/>
    <w:rsid w:val="00C1671B"/>
    <w:rsid w:val="00C16DEF"/>
    <w:rsid w:val="00C24F1E"/>
    <w:rsid w:val="00C252BB"/>
    <w:rsid w:val="00C258BF"/>
    <w:rsid w:val="00C26196"/>
    <w:rsid w:val="00C27434"/>
    <w:rsid w:val="00C31A18"/>
    <w:rsid w:val="00C31CD0"/>
    <w:rsid w:val="00C33027"/>
    <w:rsid w:val="00C3464B"/>
    <w:rsid w:val="00C373AD"/>
    <w:rsid w:val="00C37667"/>
    <w:rsid w:val="00C40784"/>
    <w:rsid w:val="00C435DB"/>
    <w:rsid w:val="00C436C1"/>
    <w:rsid w:val="00C443DC"/>
    <w:rsid w:val="00C44AC3"/>
    <w:rsid w:val="00C44D73"/>
    <w:rsid w:val="00C461CA"/>
    <w:rsid w:val="00C47D44"/>
    <w:rsid w:val="00C47F59"/>
    <w:rsid w:val="00C50B42"/>
    <w:rsid w:val="00C516FF"/>
    <w:rsid w:val="00C51A35"/>
    <w:rsid w:val="00C52B16"/>
    <w:rsid w:val="00C52BFA"/>
    <w:rsid w:val="00C52F22"/>
    <w:rsid w:val="00C53D1D"/>
    <w:rsid w:val="00C53F26"/>
    <w:rsid w:val="00C540BC"/>
    <w:rsid w:val="00C55EF7"/>
    <w:rsid w:val="00C56B3D"/>
    <w:rsid w:val="00C56B61"/>
    <w:rsid w:val="00C609AE"/>
    <w:rsid w:val="00C61A49"/>
    <w:rsid w:val="00C64055"/>
    <w:rsid w:val="00C6414C"/>
    <w:rsid w:val="00C64F7D"/>
    <w:rsid w:val="00C67309"/>
    <w:rsid w:val="00C71522"/>
    <w:rsid w:val="00C7206F"/>
    <w:rsid w:val="00C72939"/>
    <w:rsid w:val="00C7614E"/>
    <w:rsid w:val="00C76750"/>
    <w:rsid w:val="00C80D60"/>
    <w:rsid w:val="00C8184E"/>
    <w:rsid w:val="00C81EA4"/>
    <w:rsid w:val="00C82023"/>
    <w:rsid w:val="00C82FBD"/>
    <w:rsid w:val="00C82FD6"/>
    <w:rsid w:val="00C83FAB"/>
    <w:rsid w:val="00C85267"/>
    <w:rsid w:val="00C85AEC"/>
    <w:rsid w:val="00C86AFE"/>
    <w:rsid w:val="00C86E37"/>
    <w:rsid w:val="00C8721B"/>
    <w:rsid w:val="00C91532"/>
    <w:rsid w:val="00C91773"/>
    <w:rsid w:val="00C91F75"/>
    <w:rsid w:val="00C92446"/>
    <w:rsid w:val="00C92919"/>
    <w:rsid w:val="00C9372C"/>
    <w:rsid w:val="00C9470E"/>
    <w:rsid w:val="00C958DE"/>
    <w:rsid w:val="00C95CEB"/>
    <w:rsid w:val="00C9793F"/>
    <w:rsid w:val="00C97A16"/>
    <w:rsid w:val="00C97F63"/>
    <w:rsid w:val="00CA04A0"/>
    <w:rsid w:val="00CA0E70"/>
    <w:rsid w:val="00CA1054"/>
    <w:rsid w:val="00CA20AD"/>
    <w:rsid w:val="00CA28DA"/>
    <w:rsid w:val="00CA463C"/>
    <w:rsid w:val="00CA5772"/>
    <w:rsid w:val="00CA63EB"/>
    <w:rsid w:val="00CA69F1"/>
    <w:rsid w:val="00CB20EE"/>
    <w:rsid w:val="00CB3F14"/>
    <w:rsid w:val="00CB418E"/>
    <w:rsid w:val="00CB4367"/>
    <w:rsid w:val="00CB6991"/>
    <w:rsid w:val="00CC0625"/>
    <w:rsid w:val="00CC1883"/>
    <w:rsid w:val="00CC206B"/>
    <w:rsid w:val="00CC6194"/>
    <w:rsid w:val="00CC6305"/>
    <w:rsid w:val="00CC6990"/>
    <w:rsid w:val="00CC789F"/>
    <w:rsid w:val="00CC78A5"/>
    <w:rsid w:val="00CD0516"/>
    <w:rsid w:val="00CD2155"/>
    <w:rsid w:val="00CD2AA2"/>
    <w:rsid w:val="00CD6582"/>
    <w:rsid w:val="00CD67F3"/>
    <w:rsid w:val="00CD756B"/>
    <w:rsid w:val="00CE00BC"/>
    <w:rsid w:val="00CE1779"/>
    <w:rsid w:val="00CE3A0E"/>
    <w:rsid w:val="00CE4B85"/>
    <w:rsid w:val="00CE5248"/>
    <w:rsid w:val="00CE734F"/>
    <w:rsid w:val="00CF1049"/>
    <w:rsid w:val="00CF112E"/>
    <w:rsid w:val="00CF2347"/>
    <w:rsid w:val="00CF256A"/>
    <w:rsid w:val="00CF3024"/>
    <w:rsid w:val="00CF4990"/>
    <w:rsid w:val="00CF4B39"/>
    <w:rsid w:val="00CF5454"/>
    <w:rsid w:val="00CF5F4F"/>
    <w:rsid w:val="00CF717C"/>
    <w:rsid w:val="00CF7FD0"/>
    <w:rsid w:val="00D019BC"/>
    <w:rsid w:val="00D0375C"/>
    <w:rsid w:val="00D04EE6"/>
    <w:rsid w:val="00D13693"/>
    <w:rsid w:val="00D14C0D"/>
    <w:rsid w:val="00D151A6"/>
    <w:rsid w:val="00D1795B"/>
    <w:rsid w:val="00D218DC"/>
    <w:rsid w:val="00D22A8F"/>
    <w:rsid w:val="00D237E9"/>
    <w:rsid w:val="00D23DEB"/>
    <w:rsid w:val="00D243C8"/>
    <w:rsid w:val="00D245E3"/>
    <w:rsid w:val="00D24E56"/>
    <w:rsid w:val="00D24E63"/>
    <w:rsid w:val="00D25805"/>
    <w:rsid w:val="00D3067B"/>
    <w:rsid w:val="00D311AC"/>
    <w:rsid w:val="00D31643"/>
    <w:rsid w:val="00D31991"/>
    <w:rsid w:val="00D31AEB"/>
    <w:rsid w:val="00D32021"/>
    <w:rsid w:val="00D32661"/>
    <w:rsid w:val="00D32ECD"/>
    <w:rsid w:val="00D340E0"/>
    <w:rsid w:val="00D361E4"/>
    <w:rsid w:val="00D377B0"/>
    <w:rsid w:val="00D40E38"/>
    <w:rsid w:val="00D41C6A"/>
    <w:rsid w:val="00D43388"/>
    <w:rsid w:val="00D439F6"/>
    <w:rsid w:val="00D4447A"/>
    <w:rsid w:val="00D454F1"/>
    <w:rsid w:val="00D459C6"/>
    <w:rsid w:val="00D4647C"/>
    <w:rsid w:val="00D468C1"/>
    <w:rsid w:val="00D4692F"/>
    <w:rsid w:val="00D501AA"/>
    <w:rsid w:val="00D50729"/>
    <w:rsid w:val="00D50C19"/>
    <w:rsid w:val="00D518CB"/>
    <w:rsid w:val="00D51CA2"/>
    <w:rsid w:val="00D531E1"/>
    <w:rsid w:val="00D5379E"/>
    <w:rsid w:val="00D55F8F"/>
    <w:rsid w:val="00D62643"/>
    <w:rsid w:val="00D63157"/>
    <w:rsid w:val="00D6416C"/>
    <w:rsid w:val="00D649C2"/>
    <w:rsid w:val="00D64C0F"/>
    <w:rsid w:val="00D67B85"/>
    <w:rsid w:val="00D70293"/>
    <w:rsid w:val="00D71F13"/>
    <w:rsid w:val="00D72EFE"/>
    <w:rsid w:val="00D731F1"/>
    <w:rsid w:val="00D73407"/>
    <w:rsid w:val="00D74C34"/>
    <w:rsid w:val="00D75DD2"/>
    <w:rsid w:val="00D76227"/>
    <w:rsid w:val="00D77DF1"/>
    <w:rsid w:val="00D8356F"/>
    <w:rsid w:val="00D8373C"/>
    <w:rsid w:val="00D85B06"/>
    <w:rsid w:val="00D86338"/>
    <w:rsid w:val="00D86AFF"/>
    <w:rsid w:val="00D86C08"/>
    <w:rsid w:val="00D90073"/>
    <w:rsid w:val="00D904B3"/>
    <w:rsid w:val="00D909DE"/>
    <w:rsid w:val="00D91F92"/>
    <w:rsid w:val="00D94CBB"/>
    <w:rsid w:val="00D95A44"/>
    <w:rsid w:val="00D95D16"/>
    <w:rsid w:val="00D97C76"/>
    <w:rsid w:val="00DA17BA"/>
    <w:rsid w:val="00DA2978"/>
    <w:rsid w:val="00DA3C7E"/>
    <w:rsid w:val="00DA3F23"/>
    <w:rsid w:val="00DA4CD9"/>
    <w:rsid w:val="00DA5880"/>
    <w:rsid w:val="00DA5C11"/>
    <w:rsid w:val="00DA6200"/>
    <w:rsid w:val="00DB02B4"/>
    <w:rsid w:val="00DB35BE"/>
    <w:rsid w:val="00DB4EAA"/>
    <w:rsid w:val="00DB538D"/>
    <w:rsid w:val="00DB6304"/>
    <w:rsid w:val="00DB7170"/>
    <w:rsid w:val="00DB7A20"/>
    <w:rsid w:val="00DC1777"/>
    <w:rsid w:val="00DC275C"/>
    <w:rsid w:val="00DC27E7"/>
    <w:rsid w:val="00DC435B"/>
    <w:rsid w:val="00DC4B0D"/>
    <w:rsid w:val="00DC7FE1"/>
    <w:rsid w:val="00DD166C"/>
    <w:rsid w:val="00DD168C"/>
    <w:rsid w:val="00DD3B54"/>
    <w:rsid w:val="00DD3F3F"/>
    <w:rsid w:val="00DD4A97"/>
    <w:rsid w:val="00DD5572"/>
    <w:rsid w:val="00DE0C71"/>
    <w:rsid w:val="00DE2C77"/>
    <w:rsid w:val="00DE570D"/>
    <w:rsid w:val="00DE5D80"/>
    <w:rsid w:val="00DE6072"/>
    <w:rsid w:val="00DE7F4E"/>
    <w:rsid w:val="00DF0890"/>
    <w:rsid w:val="00DF3D5D"/>
    <w:rsid w:val="00DF47FB"/>
    <w:rsid w:val="00DF5858"/>
    <w:rsid w:val="00DF58CD"/>
    <w:rsid w:val="00DF65DE"/>
    <w:rsid w:val="00DF7F0C"/>
    <w:rsid w:val="00E00866"/>
    <w:rsid w:val="00E00A67"/>
    <w:rsid w:val="00E019A5"/>
    <w:rsid w:val="00E02752"/>
    <w:rsid w:val="00E02D3B"/>
    <w:rsid w:val="00E02EC8"/>
    <w:rsid w:val="00E037F5"/>
    <w:rsid w:val="00E04ECB"/>
    <w:rsid w:val="00E05A09"/>
    <w:rsid w:val="00E06CA1"/>
    <w:rsid w:val="00E0724C"/>
    <w:rsid w:val="00E07F5E"/>
    <w:rsid w:val="00E112F6"/>
    <w:rsid w:val="00E15C28"/>
    <w:rsid w:val="00E1717B"/>
    <w:rsid w:val="00E172B8"/>
    <w:rsid w:val="00E17765"/>
    <w:rsid w:val="00E17FB4"/>
    <w:rsid w:val="00E20B75"/>
    <w:rsid w:val="00E214F2"/>
    <w:rsid w:val="00E23698"/>
    <w:rsid w:val="00E2371E"/>
    <w:rsid w:val="00E238FE"/>
    <w:rsid w:val="00E23AAC"/>
    <w:rsid w:val="00E247C8"/>
    <w:rsid w:val="00E24BD7"/>
    <w:rsid w:val="00E26523"/>
    <w:rsid w:val="00E26809"/>
    <w:rsid w:val="00E317F8"/>
    <w:rsid w:val="00E3243F"/>
    <w:rsid w:val="00E339AE"/>
    <w:rsid w:val="00E3412D"/>
    <w:rsid w:val="00E34689"/>
    <w:rsid w:val="00E40BC6"/>
    <w:rsid w:val="00E442AF"/>
    <w:rsid w:val="00E55060"/>
    <w:rsid w:val="00E551F0"/>
    <w:rsid w:val="00E57322"/>
    <w:rsid w:val="00E57828"/>
    <w:rsid w:val="00E60511"/>
    <w:rsid w:val="00E628CB"/>
    <w:rsid w:val="00E62AD9"/>
    <w:rsid w:val="00E6360F"/>
    <w:rsid w:val="00E638C8"/>
    <w:rsid w:val="00E63AAD"/>
    <w:rsid w:val="00E659C2"/>
    <w:rsid w:val="00E661B5"/>
    <w:rsid w:val="00E66209"/>
    <w:rsid w:val="00E66A27"/>
    <w:rsid w:val="00E67C9D"/>
    <w:rsid w:val="00E74607"/>
    <w:rsid w:val="00E7509B"/>
    <w:rsid w:val="00E75A81"/>
    <w:rsid w:val="00E76198"/>
    <w:rsid w:val="00E765A4"/>
    <w:rsid w:val="00E8147A"/>
    <w:rsid w:val="00E86590"/>
    <w:rsid w:val="00E905DA"/>
    <w:rsid w:val="00E907FF"/>
    <w:rsid w:val="00E92356"/>
    <w:rsid w:val="00E93C7B"/>
    <w:rsid w:val="00E94886"/>
    <w:rsid w:val="00EA15AA"/>
    <w:rsid w:val="00EA25AB"/>
    <w:rsid w:val="00EA2C8F"/>
    <w:rsid w:val="00EA392C"/>
    <w:rsid w:val="00EA42D1"/>
    <w:rsid w:val="00EA42EF"/>
    <w:rsid w:val="00EA4790"/>
    <w:rsid w:val="00EA6BBA"/>
    <w:rsid w:val="00EB19B2"/>
    <w:rsid w:val="00EB2DD1"/>
    <w:rsid w:val="00EB6B37"/>
    <w:rsid w:val="00EC0BA0"/>
    <w:rsid w:val="00EC1DEE"/>
    <w:rsid w:val="00EC29FE"/>
    <w:rsid w:val="00EC4100"/>
    <w:rsid w:val="00EC43D8"/>
    <w:rsid w:val="00EC5048"/>
    <w:rsid w:val="00ED07AE"/>
    <w:rsid w:val="00ED1BED"/>
    <w:rsid w:val="00ED2C24"/>
    <w:rsid w:val="00ED38C4"/>
    <w:rsid w:val="00ED3A3D"/>
    <w:rsid w:val="00ED3ECF"/>
    <w:rsid w:val="00ED445F"/>
    <w:rsid w:val="00ED538A"/>
    <w:rsid w:val="00ED6FBC"/>
    <w:rsid w:val="00ED7AD9"/>
    <w:rsid w:val="00EE2F16"/>
    <w:rsid w:val="00EE3861"/>
    <w:rsid w:val="00EE50C6"/>
    <w:rsid w:val="00EE552B"/>
    <w:rsid w:val="00EE614C"/>
    <w:rsid w:val="00EE72C5"/>
    <w:rsid w:val="00EE78F8"/>
    <w:rsid w:val="00EF2E73"/>
    <w:rsid w:val="00EF3B33"/>
    <w:rsid w:val="00EF3B6D"/>
    <w:rsid w:val="00EF4B45"/>
    <w:rsid w:val="00EF5256"/>
    <w:rsid w:val="00EF6DE5"/>
    <w:rsid w:val="00EF7683"/>
    <w:rsid w:val="00EF7A2D"/>
    <w:rsid w:val="00EF7DA1"/>
    <w:rsid w:val="00F04D65"/>
    <w:rsid w:val="00F04F8D"/>
    <w:rsid w:val="00F07F09"/>
    <w:rsid w:val="00F10AD0"/>
    <w:rsid w:val="00F116CC"/>
    <w:rsid w:val="00F11F90"/>
    <w:rsid w:val="00F12BD1"/>
    <w:rsid w:val="00F12D43"/>
    <w:rsid w:val="00F13EAF"/>
    <w:rsid w:val="00F15327"/>
    <w:rsid w:val="00F168CF"/>
    <w:rsid w:val="00F20F16"/>
    <w:rsid w:val="00F230A4"/>
    <w:rsid w:val="00F2411D"/>
    <w:rsid w:val="00F2555C"/>
    <w:rsid w:val="00F2784C"/>
    <w:rsid w:val="00F27EBE"/>
    <w:rsid w:val="00F314DA"/>
    <w:rsid w:val="00F317E7"/>
    <w:rsid w:val="00F31DF3"/>
    <w:rsid w:val="00F33AE5"/>
    <w:rsid w:val="00F34CFE"/>
    <w:rsid w:val="00F3597D"/>
    <w:rsid w:val="00F35EB4"/>
    <w:rsid w:val="00F36A46"/>
    <w:rsid w:val="00F36E45"/>
    <w:rsid w:val="00F40971"/>
    <w:rsid w:val="00F41443"/>
    <w:rsid w:val="00F41884"/>
    <w:rsid w:val="00F4220A"/>
    <w:rsid w:val="00F4376D"/>
    <w:rsid w:val="00F45399"/>
    <w:rsid w:val="00F465EA"/>
    <w:rsid w:val="00F50241"/>
    <w:rsid w:val="00F51D38"/>
    <w:rsid w:val="00F535E5"/>
    <w:rsid w:val="00F54E7B"/>
    <w:rsid w:val="00F557A5"/>
    <w:rsid w:val="00F55A88"/>
    <w:rsid w:val="00F566EA"/>
    <w:rsid w:val="00F572DF"/>
    <w:rsid w:val="00F612F9"/>
    <w:rsid w:val="00F61412"/>
    <w:rsid w:val="00F61841"/>
    <w:rsid w:val="00F676D2"/>
    <w:rsid w:val="00F6776B"/>
    <w:rsid w:val="00F70BE7"/>
    <w:rsid w:val="00F70C06"/>
    <w:rsid w:val="00F70FF7"/>
    <w:rsid w:val="00F74005"/>
    <w:rsid w:val="00F74661"/>
    <w:rsid w:val="00F748BA"/>
    <w:rsid w:val="00F75619"/>
    <w:rsid w:val="00F76884"/>
    <w:rsid w:val="00F80777"/>
    <w:rsid w:val="00F83D24"/>
    <w:rsid w:val="00F83DD9"/>
    <w:rsid w:val="00F83F40"/>
    <w:rsid w:val="00F840F1"/>
    <w:rsid w:val="00F845BF"/>
    <w:rsid w:val="00F85529"/>
    <w:rsid w:val="00F90DAF"/>
    <w:rsid w:val="00F925FC"/>
    <w:rsid w:val="00F9274F"/>
    <w:rsid w:val="00F927AE"/>
    <w:rsid w:val="00F93E69"/>
    <w:rsid w:val="00F9516F"/>
    <w:rsid w:val="00FA117A"/>
    <w:rsid w:val="00FA37B9"/>
    <w:rsid w:val="00FA4C11"/>
    <w:rsid w:val="00FA5338"/>
    <w:rsid w:val="00FA6E04"/>
    <w:rsid w:val="00FA6FAB"/>
    <w:rsid w:val="00FB0240"/>
    <w:rsid w:val="00FB386A"/>
    <w:rsid w:val="00FC0786"/>
    <w:rsid w:val="00FC1616"/>
    <w:rsid w:val="00FC1E1B"/>
    <w:rsid w:val="00FC2E18"/>
    <w:rsid w:val="00FC49EF"/>
    <w:rsid w:val="00FC7ECE"/>
    <w:rsid w:val="00FD2C08"/>
    <w:rsid w:val="00FD5573"/>
    <w:rsid w:val="00FD687E"/>
    <w:rsid w:val="00FE022C"/>
    <w:rsid w:val="00FE14E7"/>
    <w:rsid w:val="00FE22D4"/>
    <w:rsid w:val="00FE36E2"/>
    <w:rsid w:val="00FE379F"/>
    <w:rsid w:val="00FE45B7"/>
    <w:rsid w:val="00FF01C2"/>
    <w:rsid w:val="00FF10E7"/>
    <w:rsid w:val="00FF11AD"/>
    <w:rsid w:val="00FF19F9"/>
    <w:rsid w:val="00FF2971"/>
    <w:rsid w:val="00FF34D4"/>
    <w:rsid w:val="00FF4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7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lang w:val="x-none"/>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unhideWhenUsed/>
    <w:rsid w:val="00C047A7"/>
    <w:rPr>
      <w:vertAlign w:val="superscript"/>
    </w:rPr>
  </w:style>
  <w:style w:type="character" w:styleId="Hipercze">
    <w:name w:val="Hyperlink"/>
    <w:uiPriority w:val="99"/>
    <w:unhideWhenUsed/>
    <w:rsid w:val="0072636A"/>
    <w:rPr>
      <w:color w:val="0000FF"/>
      <w:u w:val="single"/>
    </w:rPr>
  </w:style>
  <w:style w:type="character" w:customStyle="1" w:styleId="hps">
    <w:name w:val="hps"/>
    <w:rsid w:val="00DA5C11"/>
  </w:style>
  <w:style w:type="character" w:customStyle="1" w:styleId="h2">
    <w:name w:val="h2"/>
    <w:rsid w:val="00EC4100"/>
  </w:style>
  <w:style w:type="character" w:customStyle="1" w:styleId="Bodytext">
    <w:name w:val="Body text_"/>
    <w:link w:val="Tekstpodstawowy1"/>
    <w:rsid w:val="00524B96"/>
    <w:rPr>
      <w:rFonts w:ascii="Times New Roman" w:eastAsia="Times New Roman" w:hAnsi="Times New Roman"/>
      <w:sz w:val="23"/>
      <w:szCs w:val="23"/>
      <w:shd w:val="clear" w:color="auto" w:fill="FFFFFF"/>
    </w:rPr>
  </w:style>
  <w:style w:type="paragraph" w:customStyle="1" w:styleId="Tekstpodstawowy1">
    <w:name w:val="Tekst podstawowy1"/>
    <w:basedOn w:val="Normalny"/>
    <w:link w:val="Bodytext"/>
    <w:rsid w:val="00524B96"/>
    <w:pPr>
      <w:shd w:val="clear" w:color="auto" w:fill="FFFFFF"/>
      <w:spacing w:after="300" w:line="0" w:lineRule="atLeast"/>
    </w:pPr>
    <w:rPr>
      <w:rFonts w:ascii="Times New Roman" w:eastAsia="Times New Roman" w:hAnsi="Times New Roman"/>
      <w:sz w:val="23"/>
      <w:szCs w:val="23"/>
      <w:lang w:val="x-none" w:eastAsia="x-none"/>
    </w:rPr>
  </w:style>
  <w:style w:type="paragraph" w:customStyle="1" w:styleId="ZnakZnak7">
    <w:name w:val="Znak Znak7"/>
    <w:basedOn w:val="Normalny"/>
    <w:rsid w:val="00DE7F4E"/>
    <w:pPr>
      <w:spacing w:line="360" w:lineRule="auto"/>
      <w:jc w:val="both"/>
    </w:pPr>
    <w:rPr>
      <w:rFonts w:ascii="Verdana" w:eastAsia="Times New Roman" w:hAnsi="Verdana"/>
      <w:sz w:val="20"/>
      <w:szCs w:val="20"/>
      <w:lang w:eastAsia="pl-PL"/>
    </w:rPr>
  </w:style>
  <w:style w:type="paragraph" w:styleId="Poprawka">
    <w:name w:val="Revision"/>
    <w:hidden/>
    <w:uiPriority w:val="99"/>
    <w:semiHidden/>
    <w:rsid w:val="00C44AC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lang w:val="x-none"/>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unhideWhenUsed/>
    <w:rsid w:val="00C047A7"/>
    <w:rPr>
      <w:vertAlign w:val="superscript"/>
    </w:rPr>
  </w:style>
  <w:style w:type="character" w:styleId="Hipercze">
    <w:name w:val="Hyperlink"/>
    <w:uiPriority w:val="99"/>
    <w:unhideWhenUsed/>
    <w:rsid w:val="0072636A"/>
    <w:rPr>
      <w:color w:val="0000FF"/>
      <w:u w:val="single"/>
    </w:rPr>
  </w:style>
  <w:style w:type="character" w:customStyle="1" w:styleId="hps">
    <w:name w:val="hps"/>
    <w:rsid w:val="00DA5C11"/>
  </w:style>
  <w:style w:type="character" w:customStyle="1" w:styleId="h2">
    <w:name w:val="h2"/>
    <w:rsid w:val="00EC4100"/>
  </w:style>
  <w:style w:type="character" w:customStyle="1" w:styleId="Bodytext">
    <w:name w:val="Body text_"/>
    <w:link w:val="Tekstpodstawowy1"/>
    <w:rsid w:val="00524B96"/>
    <w:rPr>
      <w:rFonts w:ascii="Times New Roman" w:eastAsia="Times New Roman" w:hAnsi="Times New Roman"/>
      <w:sz w:val="23"/>
      <w:szCs w:val="23"/>
      <w:shd w:val="clear" w:color="auto" w:fill="FFFFFF"/>
    </w:rPr>
  </w:style>
  <w:style w:type="paragraph" w:customStyle="1" w:styleId="Tekstpodstawowy1">
    <w:name w:val="Tekst podstawowy1"/>
    <w:basedOn w:val="Normalny"/>
    <w:link w:val="Bodytext"/>
    <w:rsid w:val="00524B96"/>
    <w:pPr>
      <w:shd w:val="clear" w:color="auto" w:fill="FFFFFF"/>
      <w:spacing w:after="300" w:line="0" w:lineRule="atLeast"/>
    </w:pPr>
    <w:rPr>
      <w:rFonts w:ascii="Times New Roman" w:eastAsia="Times New Roman" w:hAnsi="Times New Roman"/>
      <w:sz w:val="23"/>
      <w:szCs w:val="23"/>
      <w:lang w:val="x-none" w:eastAsia="x-none"/>
    </w:rPr>
  </w:style>
  <w:style w:type="paragraph" w:customStyle="1" w:styleId="ZnakZnak7">
    <w:name w:val="Znak Znak7"/>
    <w:basedOn w:val="Normalny"/>
    <w:rsid w:val="00DE7F4E"/>
    <w:pPr>
      <w:spacing w:line="360" w:lineRule="auto"/>
      <w:jc w:val="both"/>
    </w:pPr>
    <w:rPr>
      <w:rFonts w:ascii="Verdana" w:eastAsia="Times New Roman" w:hAnsi="Verdana"/>
      <w:sz w:val="20"/>
      <w:szCs w:val="20"/>
      <w:lang w:eastAsia="pl-PL"/>
    </w:rPr>
  </w:style>
  <w:style w:type="paragraph" w:styleId="Poprawka">
    <w:name w:val="Revision"/>
    <w:hidden/>
    <w:uiPriority w:val="99"/>
    <w:semiHidden/>
    <w:rsid w:val="00C44A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18489908">
      <w:bodyDiv w:val="1"/>
      <w:marLeft w:val="0"/>
      <w:marRight w:val="0"/>
      <w:marTop w:val="0"/>
      <w:marBottom w:val="0"/>
      <w:divBdr>
        <w:top w:val="none" w:sz="0" w:space="0" w:color="auto"/>
        <w:left w:val="none" w:sz="0" w:space="0" w:color="auto"/>
        <w:bottom w:val="none" w:sz="0" w:space="0" w:color="auto"/>
        <w:right w:val="none" w:sz="0" w:space="0" w:color="auto"/>
      </w:divBdr>
    </w:div>
    <w:div w:id="663359241">
      <w:bodyDiv w:val="1"/>
      <w:marLeft w:val="0"/>
      <w:marRight w:val="0"/>
      <w:marTop w:val="0"/>
      <w:marBottom w:val="0"/>
      <w:divBdr>
        <w:top w:val="none" w:sz="0" w:space="0" w:color="auto"/>
        <w:left w:val="none" w:sz="0" w:space="0" w:color="auto"/>
        <w:bottom w:val="none" w:sz="0" w:space="0" w:color="auto"/>
        <w:right w:val="none" w:sz="0" w:space="0" w:color="auto"/>
      </w:divBdr>
    </w:div>
    <w:div w:id="718480402">
      <w:bodyDiv w:val="1"/>
      <w:marLeft w:val="0"/>
      <w:marRight w:val="0"/>
      <w:marTop w:val="0"/>
      <w:marBottom w:val="0"/>
      <w:divBdr>
        <w:top w:val="none" w:sz="0" w:space="0" w:color="auto"/>
        <w:left w:val="none" w:sz="0" w:space="0" w:color="auto"/>
        <w:bottom w:val="none" w:sz="0" w:space="0" w:color="auto"/>
        <w:right w:val="none" w:sz="0" w:space="0" w:color="auto"/>
      </w:divBdr>
    </w:div>
    <w:div w:id="78180055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83981420">
      <w:bodyDiv w:val="1"/>
      <w:marLeft w:val="0"/>
      <w:marRight w:val="0"/>
      <w:marTop w:val="0"/>
      <w:marBottom w:val="0"/>
      <w:divBdr>
        <w:top w:val="none" w:sz="0" w:space="0" w:color="auto"/>
        <w:left w:val="none" w:sz="0" w:space="0" w:color="auto"/>
        <w:bottom w:val="none" w:sz="0" w:space="0" w:color="auto"/>
        <w:right w:val="none" w:sz="0" w:space="0" w:color="auto"/>
      </w:divBdr>
    </w:div>
    <w:div w:id="948661789">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642080753">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444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ek.Nieduzak@mr.gov.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88E4-E6A1-42F3-A0F1-383281A6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11124</Words>
  <Characters>63408</Characters>
  <Application>Microsoft Office Word</Application>
  <DocSecurity>0</DocSecurity>
  <Lines>528</Lines>
  <Paragraphs>148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74384</CharactersWithSpaces>
  <SharedDoc>false</SharedDoc>
  <HLinks>
    <vt:vector size="6" baseType="variant">
      <vt:variant>
        <vt:i4>5898366</vt:i4>
      </vt:variant>
      <vt:variant>
        <vt:i4>0</vt:i4>
      </vt:variant>
      <vt:variant>
        <vt:i4>0</vt:i4>
      </vt:variant>
      <vt:variant>
        <vt:i4>5</vt:i4>
      </vt:variant>
      <vt:variant>
        <vt:lpwstr>mailto:Marek.Nieduzak@mr.gov.pl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2017-09-27T11:35:00Z</dcterms:created>
  <dcterms:modified xsi:type="dcterms:W3CDTF">2017-09-27T13:35:00Z</dcterms:modified>
</cp:coreProperties>
</file>