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1589"/>
        <w:gridCol w:w="7"/>
        <w:gridCol w:w="843"/>
        <w:gridCol w:w="229"/>
        <w:gridCol w:w="428"/>
        <w:gridCol w:w="451"/>
        <w:gridCol w:w="206"/>
        <w:gridCol w:w="136"/>
        <w:gridCol w:w="521"/>
        <w:gridCol w:w="416"/>
        <w:gridCol w:w="134"/>
        <w:gridCol w:w="108"/>
        <w:gridCol w:w="43"/>
        <w:gridCol w:w="614"/>
        <w:gridCol w:w="39"/>
        <w:gridCol w:w="618"/>
        <w:gridCol w:w="249"/>
        <w:gridCol w:w="71"/>
        <w:gridCol w:w="337"/>
        <w:gridCol w:w="195"/>
        <w:gridCol w:w="280"/>
        <w:gridCol w:w="125"/>
        <w:gridCol w:w="58"/>
        <w:gridCol w:w="657"/>
        <w:gridCol w:w="223"/>
        <w:gridCol w:w="434"/>
        <w:gridCol w:w="504"/>
        <w:gridCol w:w="154"/>
        <w:gridCol w:w="1268"/>
        <w:gridCol w:w="10"/>
      </w:tblGrid>
      <w:tr w:rsidR="007B1E52" w:rsidRPr="00442C01" w14:paraId="1FA4AF51" w14:textId="77777777" w:rsidTr="00B17DC3">
        <w:trPr>
          <w:gridAfter w:val="1"/>
          <w:wAfter w:w="10" w:type="dxa"/>
          <w:trHeight w:val="1611"/>
        </w:trPr>
        <w:tc>
          <w:tcPr>
            <w:tcW w:w="6631" w:type="dxa"/>
            <w:gridSpan w:val="17"/>
          </w:tcPr>
          <w:p w14:paraId="4A95593E" w14:textId="77777777" w:rsidR="007B1E52" w:rsidRPr="00442C01" w:rsidRDefault="007B1E52" w:rsidP="005627A1">
            <w:pPr>
              <w:spacing w:after="0" w:line="240" w:lineRule="auto"/>
              <w:ind w:hanging="45"/>
              <w:rPr>
                <w:rFonts w:ascii="Times New Roman" w:eastAsia="Calibri" w:hAnsi="Times New Roman" w:cs="Times New Roman"/>
                <w:color w:val="000000"/>
              </w:rPr>
            </w:pPr>
            <w:bookmarkStart w:id="0" w:name="t1"/>
            <w:bookmarkStart w:id="1" w:name="_GoBack"/>
            <w:bookmarkEnd w:id="1"/>
            <w:r w:rsidRPr="00442C01">
              <w:rPr>
                <w:rFonts w:ascii="Times New Roman" w:eastAsia="Calibri" w:hAnsi="Times New Roman" w:cs="Times New Roman"/>
                <w:b/>
                <w:color w:val="000000"/>
              </w:rPr>
              <w:t>Nazwa projektu</w:t>
            </w:r>
          </w:p>
          <w:p w14:paraId="5E8D7790" w14:textId="77777777" w:rsidR="007B1E52" w:rsidRPr="00442C01" w:rsidRDefault="007B1E52" w:rsidP="005627A1">
            <w:pPr>
              <w:spacing w:after="0" w:line="240" w:lineRule="auto"/>
              <w:ind w:hanging="34"/>
              <w:jc w:val="both"/>
              <w:rPr>
                <w:rFonts w:ascii="Times New Roman" w:eastAsia="Calibri" w:hAnsi="Times New Roman" w:cs="Times New Roman"/>
                <w:color w:val="000000"/>
              </w:rPr>
            </w:pPr>
            <w:r w:rsidRPr="00442C01">
              <w:rPr>
                <w:rFonts w:ascii="Times New Roman" w:eastAsia="Calibri" w:hAnsi="Times New Roman" w:cs="Times New Roman"/>
              </w:rPr>
              <w:t xml:space="preserve">Projekt rozporządzenia Ministra Zdrowia zmieniającego rozporządzenie w sprawie świadczeń gwarantowanych z zakresu </w:t>
            </w:r>
            <w:r w:rsidR="00267C38" w:rsidRPr="00442C01">
              <w:rPr>
                <w:rFonts w:ascii="Times New Roman" w:eastAsia="Calibri" w:hAnsi="Times New Roman" w:cs="Times New Roman"/>
              </w:rPr>
              <w:t>leczenia szpitalnego</w:t>
            </w:r>
          </w:p>
          <w:p w14:paraId="7430B98F" w14:textId="77777777" w:rsidR="007B1E52" w:rsidRPr="00442C01" w:rsidRDefault="007B1E52" w:rsidP="005627A1">
            <w:pPr>
              <w:spacing w:after="0" w:line="240" w:lineRule="auto"/>
              <w:ind w:hanging="45"/>
              <w:rPr>
                <w:rFonts w:ascii="Times New Roman" w:eastAsia="Calibri" w:hAnsi="Times New Roman" w:cs="Times New Roman"/>
                <w:b/>
                <w:color w:val="000000"/>
              </w:rPr>
            </w:pPr>
            <w:r w:rsidRPr="00442C01">
              <w:rPr>
                <w:rFonts w:ascii="Times New Roman" w:eastAsia="Calibri" w:hAnsi="Times New Roman" w:cs="Times New Roman"/>
                <w:b/>
                <w:color w:val="000000"/>
              </w:rPr>
              <w:t>Ministerstwo wiodące i ministerstwa współpracujące</w:t>
            </w:r>
          </w:p>
          <w:bookmarkEnd w:id="0"/>
          <w:p w14:paraId="0C4B9285" w14:textId="77777777" w:rsidR="007B1E52" w:rsidRPr="00442C01" w:rsidRDefault="007B1E52" w:rsidP="005627A1">
            <w:pPr>
              <w:spacing w:after="0" w:line="240" w:lineRule="auto"/>
              <w:ind w:hanging="34"/>
              <w:rPr>
                <w:rFonts w:ascii="Times New Roman" w:eastAsia="Calibri" w:hAnsi="Times New Roman" w:cs="Times New Roman"/>
                <w:color w:val="000000"/>
              </w:rPr>
            </w:pPr>
            <w:r w:rsidRPr="00442C01">
              <w:rPr>
                <w:rFonts w:ascii="Times New Roman" w:eastAsia="Calibri" w:hAnsi="Times New Roman" w:cs="Times New Roman"/>
                <w:color w:val="000000"/>
              </w:rPr>
              <w:t>Ministerstwo Zdrowia</w:t>
            </w:r>
          </w:p>
          <w:p w14:paraId="4A40BDA0" w14:textId="77777777" w:rsidR="007B1E52" w:rsidRPr="00442C01" w:rsidRDefault="007B1E52" w:rsidP="005627A1">
            <w:pPr>
              <w:spacing w:after="0" w:line="240" w:lineRule="auto"/>
              <w:rPr>
                <w:rFonts w:ascii="Times New Roman" w:eastAsia="Calibri" w:hAnsi="Times New Roman" w:cs="Times New Roman"/>
                <w:b/>
              </w:rPr>
            </w:pPr>
            <w:r w:rsidRPr="00442C01">
              <w:rPr>
                <w:rFonts w:ascii="Times New Roman" w:eastAsia="Calibri" w:hAnsi="Times New Roman" w:cs="Times New Roman"/>
                <w:b/>
              </w:rPr>
              <w:t xml:space="preserve">Osoba odpowiedzialna za projekt w randze Ministra, Sekretarza Stanu lub Podsekretarza Stanu </w:t>
            </w:r>
          </w:p>
          <w:p w14:paraId="30B77DA4" w14:textId="77777777" w:rsidR="007B1E52" w:rsidRPr="00442C01" w:rsidRDefault="00C761E8" w:rsidP="005627A1">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Zbigniew </w:t>
            </w:r>
            <w:r w:rsidR="00A63438">
              <w:rPr>
                <w:rFonts w:ascii="Times New Roman" w:eastAsia="Calibri" w:hAnsi="Times New Roman" w:cs="Times New Roman"/>
              </w:rPr>
              <w:t xml:space="preserve">J. </w:t>
            </w:r>
            <w:r>
              <w:rPr>
                <w:rFonts w:ascii="Times New Roman" w:eastAsia="Calibri" w:hAnsi="Times New Roman" w:cs="Times New Roman"/>
              </w:rPr>
              <w:t>Król</w:t>
            </w:r>
            <w:r w:rsidR="007B1E52" w:rsidRPr="00442C01">
              <w:rPr>
                <w:rFonts w:ascii="Times New Roman" w:eastAsia="Calibri" w:hAnsi="Times New Roman" w:cs="Times New Roman"/>
              </w:rPr>
              <w:t xml:space="preserve"> – Podsekretarz Stanu w Ministerstwie Zdrowia</w:t>
            </w:r>
          </w:p>
          <w:p w14:paraId="0A5BC03E" w14:textId="77777777" w:rsidR="007B1E52" w:rsidRPr="00442C01" w:rsidRDefault="007B1E52" w:rsidP="005627A1">
            <w:pPr>
              <w:spacing w:after="0" w:line="240" w:lineRule="auto"/>
              <w:ind w:hanging="45"/>
              <w:rPr>
                <w:rFonts w:ascii="Times New Roman" w:eastAsia="Calibri" w:hAnsi="Times New Roman" w:cs="Times New Roman"/>
                <w:b/>
                <w:color w:val="000000"/>
              </w:rPr>
            </w:pPr>
            <w:r w:rsidRPr="00442C01">
              <w:rPr>
                <w:rFonts w:ascii="Times New Roman" w:eastAsia="Calibri" w:hAnsi="Times New Roman" w:cs="Times New Roman"/>
                <w:b/>
                <w:color w:val="000000"/>
              </w:rPr>
              <w:t>Kontakt do opiekuna merytorycznego projektu</w:t>
            </w:r>
          </w:p>
          <w:p w14:paraId="7CEABED2" w14:textId="77777777" w:rsidR="007B1E52" w:rsidRPr="00442C01" w:rsidRDefault="007B1E52" w:rsidP="005627A1">
            <w:pPr>
              <w:spacing w:after="0" w:line="240" w:lineRule="auto"/>
              <w:jc w:val="both"/>
              <w:rPr>
                <w:rFonts w:ascii="Times New Roman" w:eastAsia="Calibri" w:hAnsi="Times New Roman" w:cs="Times New Roman"/>
                <w:color w:val="000000"/>
              </w:rPr>
            </w:pPr>
            <w:r w:rsidRPr="00442C01">
              <w:rPr>
                <w:rFonts w:ascii="Times New Roman" w:eastAsia="Calibri" w:hAnsi="Times New Roman" w:cs="Times New Roman"/>
              </w:rPr>
              <w:t xml:space="preserve">Kamila Malinowska, Zastępca Dyrektora Departamentu </w:t>
            </w:r>
            <w:r w:rsidR="00DF7E2C">
              <w:rPr>
                <w:rFonts w:ascii="Times New Roman" w:eastAsia="Calibri" w:hAnsi="Times New Roman" w:cs="Times New Roman"/>
              </w:rPr>
              <w:t xml:space="preserve">Analiz i Strategii </w:t>
            </w:r>
            <w:r w:rsidRPr="00442C01">
              <w:rPr>
                <w:rFonts w:ascii="Times New Roman" w:eastAsia="Calibri" w:hAnsi="Times New Roman" w:cs="Times New Roman"/>
              </w:rPr>
              <w:t xml:space="preserve">w Ministerstwie Zdrowia, </w:t>
            </w:r>
            <w:r w:rsidR="009D756E">
              <w:rPr>
                <w:rFonts w:ascii="Times New Roman" w:eastAsia="Calibri" w:hAnsi="Times New Roman" w:cs="Times New Roman"/>
              </w:rPr>
              <w:t xml:space="preserve">tel. </w:t>
            </w:r>
            <w:r w:rsidRPr="00442C01">
              <w:rPr>
                <w:rFonts w:ascii="Times New Roman" w:eastAsia="Calibri" w:hAnsi="Times New Roman" w:cs="Times New Roman"/>
              </w:rPr>
              <w:t xml:space="preserve">(22) </w:t>
            </w:r>
            <w:r w:rsidR="00DF7E2C">
              <w:rPr>
                <w:rFonts w:ascii="Times New Roman" w:eastAsia="Calibri" w:hAnsi="Times New Roman" w:cs="Times New Roman"/>
              </w:rPr>
              <w:t>860 11 05</w:t>
            </w:r>
            <w:r w:rsidRPr="00442C01">
              <w:rPr>
                <w:rFonts w:ascii="Times New Roman" w:eastAsia="Calibri" w:hAnsi="Times New Roman" w:cs="Times New Roman"/>
              </w:rPr>
              <w:t xml:space="preserve">, e-mail: </w:t>
            </w:r>
            <w:hyperlink r:id="rId7" w:history="1">
              <w:r w:rsidRPr="00442C01">
                <w:rPr>
                  <w:rFonts w:ascii="Times New Roman" w:eastAsia="Calibri" w:hAnsi="Times New Roman" w:cs="Times New Roman"/>
                  <w:color w:val="0000FF"/>
                  <w:u w:val="single"/>
                </w:rPr>
                <w:t>k.malinowska@mz.gov.pl</w:t>
              </w:r>
            </w:hyperlink>
          </w:p>
        </w:tc>
        <w:tc>
          <w:tcPr>
            <w:tcW w:w="4306" w:type="dxa"/>
            <w:gridSpan w:val="12"/>
            <w:shd w:val="clear" w:color="auto" w:fill="FFFFFF"/>
          </w:tcPr>
          <w:p w14:paraId="54A77640" w14:textId="0651A13B" w:rsidR="007B1E52" w:rsidRPr="00442C01" w:rsidRDefault="007B1E52" w:rsidP="00C761E8">
            <w:pPr>
              <w:spacing w:before="120" w:after="120" w:line="240" w:lineRule="auto"/>
              <w:rPr>
                <w:rFonts w:ascii="Times New Roman" w:eastAsia="Calibri" w:hAnsi="Times New Roman" w:cs="Times New Roman"/>
                <w:b/>
              </w:rPr>
            </w:pPr>
            <w:r w:rsidRPr="00442C01">
              <w:rPr>
                <w:rFonts w:ascii="Times New Roman" w:eastAsia="Calibri" w:hAnsi="Times New Roman" w:cs="Times New Roman"/>
                <w:b/>
              </w:rPr>
              <w:t xml:space="preserve">Data sporządzenia: </w:t>
            </w:r>
            <w:r w:rsidR="00FB4812">
              <w:rPr>
                <w:rFonts w:ascii="Times New Roman" w:eastAsia="Calibri" w:hAnsi="Times New Roman" w:cs="Times New Roman"/>
              </w:rPr>
              <w:t>2</w:t>
            </w:r>
            <w:r w:rsidR="00B33D36">
              <w:rPr>
                <w:rFonts w:ascii="Times New Roman" w:eastAsia="Calibri" w:hAnsi="Times New Roman" w:cs="Times New Roman"/>
              </w:rPr>
              <w:t>8</w:t>
            </w:r>
            <w:r w:rsidR="00402FAB" w:rsidRPr="00402FAB">
              <w:rPr>
                <w:rFonts w:ascii="Times New Roman" w:eastAsia="Calibri" w:hAnsi="Times New Roman" w:cs="Times New Roman"/>
              </w:rPr>
              <w:t>.12.2017 r.</w:t>
            </w:r>
            <w:r w:rsidR="00402FAB">
              <w:rPr>
                <w:rFonts w:ascii="Times New Roman" w:eastAsia="Calibri" w:hAnsi="Times New Roman" w:cs="Times New Roman"/>
                <w:b/>
              </w:rPr>
              <w:t xml:space="preserve"> </w:t>
            </w:r>
          </w:p>
          <w:p w14:paraId="377047BF" w14:textId="77777777" w:rsidR="007B1E52" w:rsidRPr="00442C01" w:rsidRDefault="007B1E52" w:rsidP="00C761E8">
            <w:pPr>
              <w:spacing w:before="120" w:after="120" w:line="240" w:lineRule="auto"/>
              <w:rPr>
                <w:rFonts w:ascii="Times New Roman" w:eastAsia="Calibri" w:hAnsi="Times New Roman" w:cs="Times New Roman"/>
                <w:b/>
              </w:rPr>
            </w:pPr>
            <w:r w:rsidRPr="00442C01">
              <w:rPr>
                <w:rFonts w:ascii="Times New Roman" w:eastAsia="Calibri" w:hAnsi="Times New Roman" w:cs="Times New Roman"/>
                <w:b/>
              </w:rPr>
              <w:t xml:space="preserve">Źródło: </w:t>
            </w:r>
          </w:p>
          <w:p w14:paraId="697D43B3" w14:textId="55971473" w:rsidR="007B1E52" w:rsidRPr="00442C01" w:rsidRDefault="007B1E52" w:rsidP="00C761E8">
            <w:pPr>
              <w:spacing w:before="120" w:after="120" w:line="240" w:lineRule="auto"/>
              <w:jc w:val="both"/>
              <w:rPr>
                <w:rFonts w:ascii="Times New Roman" w:eastAsia="Times New Roman" w:hAnsi="Times New Roman" w:cs="Times New Roman"/>
              </w:rPr>
            </w:pPr>
            <w:r w:rsidRPr="00442C01">
              <w:rPr>
                <w:rFonts w:ascii="Times New Roman" w:eastAsia="Times New Roman" w:hAnsi="Times New Roman" w:cs="Times New Roman"/>
              </w:rPr>
              <w:t xml:space="preserve">Art. 31d ustawy z dnia 27 sierpnia 2004 r. o świadczeniach opieki zdrowotnej finansowanych ze środków publicznych </w:t>
            </w:r>
            <w:r w:rsidRPr="00442C01">
              <w:rPr>
                <w:rFonts w:ascii="Times New Roman" w:eastAsia="Times New Roman" w:hAnsi="Times New Roman" w:cs="Times New Roman"/>
              </w:rPr>
              <w:br/>
              <w:t>(Dz. U. z 201</w:t>
            </w:r>
            <w:r w:rsidR="00961053">
              <w:rPr>
                <w:rFonts w:ascii="Times New Roman" w:eastAsia="Times New Roman" w:hAnsi="Times New Roman" w:cs="Times New Roman"/>
              </w:rPr>
              <w:t>7</w:t>
            </w:r>
            <w:r w:rsidRPr="00442C01">
              <w:rPr>
                <w:rFonts w:ascii="Times New Roman" w:eastAsia="Times New Roman" w:hAnsi="Times New Roman" w:cs="Times New Roman"/>
              </w:rPr>
              <w:t xml:space="preserve"> r. poz. 193</w:t>
            </w:r>
            <w:r w:rsidR="00961053">
              <w:rPr>
                <w:rFonts w:ascii="Times New Roman" w:eastAsia="Times New Roman" w:hAnsi="Times New Roman" w:cs="Times New Roman"/>
              </w:rPr>
              <w:t>8</w:t>
            </w:r>
            <w:r w:rsidRPr="00442C01">
              <w:rPr>
                <w:rFonts w:ascii="Times New Roman" w:eastAsia="Times New Roman" w:hAnsi="Times New Roman" w:cs="Times New Roman"/>
              </w:rPr>
              <w:t>, z późn. zm.)</w:t>
            </w:r>
          </w:p>
          <w:p w14:paraId="059B17A7" w14:textId="77777777" w:rsidR="007B1E52" w:rsidRPr="00442C01" w:rsidRDefault="007B1E52" w:rsidP="00C761E8">
            <w:pPr>
              <w:spacing w:before="120" w:after="120" w:line="240" w:lineRule="auto"/>
              <w:rPr>
                <w:rFonts w:ascii="Times New Roman" w:eastAsia="Calibri" w:hAnsi="Times New Roman" w:cs="Times New Roman"/>
                <w:b/>
                <w:color w:val="000000"/>
              </w:rPr>
            </w:pPr>
            <w:r w:rsidRPr="00442C01">
              <w:rPr>
                <w:rFonts w:ascii="Times New Roman" w:eastAsia="Calibri" w:hAnsi="Times New Roman" w:cs="Times New Roman"/>
                <w:b/>
                <w:color w:val="000000"/>
              </w:rPr>
              <w:t xml:space="preserve">Nr w wykazie prac Ministra Zdrowia: </w:t>
            </w:r>
          </w:p>
          <w:p w14:paraId="29E70B2E" w14:textId="77777777" w:rsidR="007B1E52" w:rsidRPr="00442C01" w:rsidRDefault="005627A1" w:rsidP="005627A1">
            <w:pPr>
              <w:spacing w:before="120" w:after="120" w:line="240" w:lineRule="auto"/>
              <w:rPr>
                <w:rFonts w:ascii="Times New Roman" w:eastAsia="Calibri" w:hAnsi="Times New Roman" w:cs="Times New Roman"/>
                <w:b/>
                <w:color w:val="000000"/>
              </w:rPr>
            </w:pPr>
            <w:r>
              <w:rPr>
                <w:rFonts w:ascii="Times New Roman" w:eastAsia="Calibri" w:hAnsi="Times New Roman" w:cs="Times New Roman"/>
                <w:b/>
                <w:color w:val="000000"/>
              </w:rPr>
              <w:t>MZ 600</w:t>
            </w:r>
          </w:p>
        </w:tc>
      </w:tr>
      <w:tr w:rsidR="007B1E52" w:rsidRPr="00442C01" w14:paraId="230EE25B" w14:textId="77777777" w:rsidTr="00B17DC3">
        <w:trPr>
          <w:gridAfter w:val="1"/>
          <w:wAfter w:w="10" w:type="dxa"/>
          <w:trHeight w:val="142"/>
        </w:trPr>
        <w:tc>
          <w:tcPr>
            <w:tcW w:w="10937" w:type="dxa"/>
            <w:gridSpan w:val="29"/>
            <w:shd w:val="clear" w:color="auto" w:fill="99CCFF"/>
          </w:tcPr>
          <w:p w14:paraId="0BE67478" w14:textId="77777777" w:rsidR="007B1E52" w:rsidRPr="00442C01" w:rsidRDefault="007B1E52" w:rsidP="00C761E8">
            <w:pPr>
              <w:spacing w:before="120" w:after="120" w:line="240" w:lineRule="auto"/>
              <w:ind w:left="57"/>
              <w:jc w:val="center"/>
              <w:rPr>
                <w:rFonts w:ascii="Times New Roman" w:eastAsia="Calibri" w:hAnsi="Times New Roman" w:cs="Times New Roman"/>
                <w:b/>
                <w:color w:val="FFFFFF"/>
              </w:rPr>
            </w:pPr>
            <w:r w:rsidRPr="00442C01">
              <w:rPr>
                <w:rFonts w:ascii="Times New Roman" w:eastAsia="Calibri" w:hAnsi="Times New Roman" w:cs="Times New Roman"/>
                <w:b/>
                <w:color w:val="FFFFFF"/>
              </w:rPr>
              <w:t>OCENA SKUTKÓW REGULACJI</w:t>
            </w:r>
          </w:p>
        </w:tc>
      </w:tr>
      <w:tr w:rsidR="007B1E52" w:rsidRPr="00442C01" w14:paraId="02D6F1B5" w14:textId="77777777" w:rsidTr="00B17DC3">
        <w:trPr>
          <w:gridAfter w:val="1"/>
          <w:wAfter w:w="10" w:type="dxa"/>
          <w:trHeight w:val="333"/>
        </w:trPr>
        <w:tc>
          <w:tcPr>
            <w:tcW w:w="10937" w:type="dxa"/>
            <w:gridSpan w:val="29"/>
            <w:shd w:val="clear" w:color="auto" w:fill="99CCFF"/>
            <w:vAlign w:val="center"/>
          </w:tcPr>
          <w:p w14:paraId="0D0E90D5" w14:textId="77777777" w:rsidR="007B1E52" w:rsidRPr="00442C01" w:rsidRDefault="007B1E52" w:rsidP="00C761E8">
            <w:pPr>
              <w:numPr>
                <w:ilvl w:val="0"/>
                <w:numId w:val="1"/>
              </w:numPr>
              <w:spacing w:before="120" w:after="120" w:line="240" w:lineRule="auto"/>
              <w:ind w:left="318" w:hanging="284"/>
              <w:jc w:val="both"/>
              <w:rPr>
                <w:rFonts w:ascii="Times New Roman" w:eastAsia="Calibri" w:hAnsi="Times New Roman" w:cs="Times New Roman"/>
                <w:b/>
                <w:color w:val="000000"/>
              </w:rPr>
            </w:pPr>
            <w:r w:rsidRPr="00442C01">
              <w:rPr>
                <w:rFonts w:ascii="Times New Roman" w:eastAsia="Calibri" w:hAnsi="Times New Roman" w:cs="Times New Roman"/>
                <w:b/>
              </w:rPr>
              <w:t>Jaki problem jest rozwiązywany?</w:t>
            </w:r>
            <w:bookmarkStart w:id="2" w:name="Wybór1"/>
            <w:bookmarkEnd w:id="2"/>
          </w:p>
        </w:tc>
      </w:tr>
      <w:tr w:rsidR="007B1E52" w:rsidRPr="00442C01" w14:paraId="19C67DAC" w14:textId="77777777" w:rsidTr="00B17DC3">
        <w:trPr>
          <w:gridAfter w:val="1"/>
          <w:wAfter w:w="10" w:type="dxa"/>
          <w:trHeight w:val="990"/>
        </w:trPr>
        <w:tc>
          <w:tcPr>
            <w:tcW w:w="10937" w:type="dxa"/>
            <w:gridSpan w:val="29"/>
            <w:shd w:val="clear" w:color="auto" w:fill="FFFFFF"/>
          </w:tcPr>
          <w:p w14:paraId="0B035452" w14:textId="365017FD" w:rsidR="007B1E52" w:rsidRPr="00442C01" w:rsidRDefault="00305214" w:rsidP="00961053">
            <w:pPr>
              <w:suppressAutoHyphens/>
              <w:autoSpaceDE w:val="0"/>
              <w:autoSpaceDN w:val="0"/>
              <w:adjustRightInd w:val="0"/>
              <w:spacing w:after="0" w:line="240" w:lineRule="auto"/>
              <w:jc w:val="both"/>
              <w:rPr>
                <w:rFonts w:ascii="Times New Roman" w:eastAsia="Calibri" w:hAnsi="Times New Roman" w:cs="Times New Roman"/>
              </w:rPr>
            </w:pPr>
            <w:r w:rsidRPr="00305214">
              <w:rPr>
                <w:rFonts w:ascii="Times New Roman" w:eastAsia="Calibri" w:hAnsi="Times New Roman" w:cs="Times New Roman"/>
              </w:rPr>
              <w:t>Celem projektowanego rozporządzenia zmieniającego rozporządzenie Ministra Zdrow</w:t>
            </w:r>
            <w:r>
              <w:rPr>
                <w:rFonts w:ascii="Times New Roman" w:eastAsia="Calibri" w:hAnsi="Times New Roman" w:cs="Times New Roman"/>
              </w:rPr>
              <w:t>ia z dnia 22 listopada 2013 r. w </w:t>
            </w:r>
            <w:r w:rsidRPr="00305214">
              <w:rPr>
                <w:rFonts w:ascii="Times New Roman" w:eastAsia="Calibri" w:hAnsi="Times New Roman" w:cs="Times New Roman"/>
              </w:rPr>
              <w:t>sprawie świadczeń gwarantowanych z zakresu leczenia szpitalnego (Dz. U. z 201</w:t>
            </w:r>
            <w:r w:rsidR="00961053">
              <w:rPr>
                <w:rFonts w:ascii="Times New Roman" w:eastAsia="Calibri" w:hAnsi="Times New Roman" w:cs="Times New Roman"/>
              </w:rPr>
              <w:t>7</w:t>
            </w:r>
            <w:r w:rsidRPr="00305214">
              <w:rPr>
                <w:rFonts w:ascii="Times New Roman" w:eastAsia="Calibri" w:hAnsi="Times New Roman" w:cs="Times New Roman"/>
              </w:rPr>
              <w:t xml:space="preserve"> r. </w:t>
            </w:r>
            <w:r w:rsidR="00961053">
              <w:rPr>
                <w:rFonts w:ascii="Times New Roman" w:eastAsia="Calibri" w:hAnsi="Times New Roman" w:cs="Times New Roman"/>
              </w:rPr>
              <w:t>poz. 2295</w:t>
            </w:r>
            <w:r w:rsidRPr="00305214">
              <w:rPr>
                <w:rFonts w:ascii="Times New Roman" w:eastAsia="Calibri" w:hAnsi="Times New Roman" w:cs="Times New Roman"/>
              </w:rPr>
              <w:t>) jest zwiększenie dostępności do świadczeń gwarantowanych, które d</w:t>
            </w:r>
            <w:r>
              <w:rPr>
                <w:rFonts w:ascii="Times New Roman" w:eastAsia="Calibri" w:hAnsi="Times New Roman" w:cs="Times New Roman"/>
              </w:rPr>
              <w:t>otychczas nie były dostępne dla </w:t>
            </w:r>
            <w:r w:rsidRPr="00305214">
              <w:rPr>
                <w:rFonts w:ascii="Times New Roman" w:eastAsia="Calibri" w:hAnsi="Times New Roman" w:cs="Times New Roman"/>
              </w:rPr>
              <w:t xml:space="preserve">pacjentów </w:t>
            </w:r>
            <w:r>
              <w:rPr>
                <w:rFonts w:ascii="Times New Roman" w:eastAsia="Calibri" w:hAnsi="Times New Roman" w:cs="Times New Roman"/>
              </w:rPr>
              <w:t>w </w:t>
            </w:r>
            <w:r w:rsidRPr="00305214">
              <w:rPr>
                <w:rFonts w:ascii="Times New Roman" w:eastAsia="Calibri" w:hAnsi="Times New Roman" w:cs="Times New Roman"/>
              </w:rPr>
              <w:t>ramach świadczeń opieki zdrowotnej finansowanych ze środków publicznych</w:t>
            </w:r>
            <w:r>
              <w:rPr>
                <w:rFonts w:ascii="Times New Roman" w:eastAsia="Calibri" w:hAnsi="Times New Roman" w:cs="Times New Roman"/>
              </w:rPr>
              <w:t>,</w:t>
            </w:r>
            <w:r w:rsidRPr="00305214">
              <w:rPr>
                <w:rFonts w:ascii="Times New Roman" w:eastAsia="Calibri" w:hAnsi="Times New Roman" w:cs="Times New Roman"/>
              </w:rPr>
              <w:t xml:space="preserve"> a mających znaczenie dla</w:t>
            </w:r>
            <w:r>
              <w:rPr>
                <w:rFonts w:ascii="Times New Roman" w:eastAsia="Calibri" w:hAnsi="Times New Roman" w:cs="Times New Roman"/>
              </w:rPr>
              <w:t> </w:t>
            </w:r>
            <w:r w:rsidRPr="00305214">
              <w:rPr>
                <w:rFonts w:ascii="Times New Roman" w:eastAsia="Calibri" w:hAnsi="Times New Roman" w:cs="Times New Roman"/>
              </w:rPr>
              <w:t>poprawy zdrowia</w:t>
            </w:r>
            <w:r>
              <w:rPr>
                <w:rFonts w:ascii="Times New Roman" w:eastAsia="Calibri" w:hAnsi="Times New Roman" w:cs="Times New Roman"/>
              </w:rPr>
              <w:t xml:space="preserve"> i wydłużenia życia</w:t>
            </w:r>
            <w:r w:rsidRPr="00305214">
              <w:rPr>
                <w:rFonts w:ascii="Times New Roman" w:eastAsia="Calibri" w:hAnsi="Times New Roman" w:cs="Times New Roman"/>
              </w:rPr>
              <w:t xml:space="preserve"> pacjentów.</w:t>
            </w:r>
          </w:p>
        </w:tc>
      </w:tr>
      <w:tr w:rsidR="007B1E52" w:rsidRPr="00442C01" w14:paraId="3C1980D6" w14:textId="77777777" w:rsidTr="00B17DC3">
        <w:trPr>
          <w:gridAfter w:val="1"/>
          <w:wAfter w:w="10" w:type="dxa"/>
          <w:trHeight w:val="142"/>
        </w:trPr>
        <w:tc>
          <w:tcPr>
            <w:tcW w:w="10937" w:type="dxa"/>
            <w:gridSpan w:val="29"/>
            <w:shd w:val="clear" w:color="auto" w:fill="99CCFF"/>
            <w:vAlign w:val="center"/>
          </w:tcPr>
          <w:p w14:paraId="6ECFFC93" w14:textId="77777777" w:rsidR="007B1E52" w:rsidRPr="00442C01" w:rsidRDefault="007B1E52" w:rsidP="00C761E8">
            <w:pPr>
              <w:numPr>
                <w:ilvl w:val="0"/>
                <w:numId w:val="1"/>
              </w:numPr>
              <w:spacing w:before="120" w:after="120" w:line="240" w:lineRule="auto"/>
              <w:ind w:left="318" w:hanging="284"/>
              <w:jc w:val="both"/>
              <w:rPr>
                <w:rFonts w:ascii="Times New Roman" w:eastAsia="Calibri" w:hAnsi="Times New Roman" w:cs="Times New Roman"/>
                <w:b/>
                <w:color w:val="000000"/>
              </w:rPr>
            </w:pPr>
            <w:r w:rsidRPr="00442C01">
              <w:rPr>
                <w:rFonts w:ascii="Times New Roman" w:eastAsia="Calibri" w:hAnsi="Times New Roman" w:cs="Times New Roman"/>
                <w:b/>
                <w:color w:val="000000"/>
                <w:spacing w:val="-2"/>
              </w:rPr>
              <w:t>Rekomendowane rozwiązanie, w tym planowane narzędzia interwencji, i oczekiwany efekt</w:t>
            </w:r>
          </w:p>
        </w:tc>
      </w:tr>
      <w:tr w:rsidR="007B1E52" w:rsidRPr="00442C01" w14:paraId="2B054304" w14:textId="77777777" w:rsidTr="00B17DC3">
        <w:trPr>
          <w:gridAfter w:val="1"/>
          <w:wAfter w:w="10" w:type="dxa"/>
          <w:trHeight w:val="2495"/>
        </w:trPr>
        <w:tc>
          <w:tcPr>
            <w:tcW w:w="10937" w:type="dxa"/>
            <w:gridSpan w:val="29"/>
            <w:shd w:val="clear" w:color="auto" w:fill="auto"/>
          </w:tcPr>
          <w:p w14:paraId="3970637D" w14:textId="1F8ED872" w:rsidR="00BC72DF" w:rsidRDefault="00BC72DF" w:rsidP="00154D11">
            <w:pPr>
              <w:suppressAutoHyphens/>
              <w:autoSpaceDE w:val="0"/>
              <w:autoSpaceDN w:val="0"/>
              <w:adjustRightInd w:val="0"/>
              <w:spacing w:before="120" w:after="120" w:line="240" w:lineRule="auto"/>
              <w:jc w:val="both"/>
              <w:rPr>
                <w:rFonts w:ascii="Times New Roman" w:eastAsia="Calibri" w:hAnsi="Times New Roman" w:cs="Times New Roman"/>
              </w:rPr>
            </w:pPr>
            <w:r>
              <w:rPr>
                <w:rFonts w:ascii="Times New Roman" w:eastAsia="Calibri" w:hAnsi="Times New Roman" w:cs="Times New Roman"/>
                <w:bCs/>
                <w:lang w:eastAsia="pl-PL"/>
              </w:rPr>
              <w:t>Wprowadzenie do rozporządzenia Ministra Zdrowia z</w:t>
            </w:r>
            <w:r>
              <w:rPr>
                <w:rFonts w:ascii="Times New Roman" w:eastAsia="Calibri" w:hAnsi="Times New Roman" w:cs="Times New Roman"/>
              </w:rPr>
              <w:t xml:space="preserve"> dnia 22 listopada 2013 r. w </w:t>
            </w:r>
            <w:r w:rsidRPr="00305214">
              <w:rPr>
                <w:rFonts w:ascii="Times New Roman" w:eastAsia="Calibri" w:hAnsi="Times New Roman" w:cs="Times New Roman"/>
              </w:rPr>
              <w:t>spr</w:t>
            </w:r>
            <w:r>
              <w:rPr>
                <w:rFonts w:ascii="Times New Roman" w:eastAsia="Calibri" w:hAnsi="Times New Roman" w:cs="Times New Roman"/>
              </w:rPr>
              <w:t>awie świadczeń gwarantowanych z </w:t>
            </w:r>
            <w:r w:rsidRPr="00305214">
              <w:rPr>
                <w:rFonts w:ascii="Times New Roman" w:eastAsia="Calibri" w:hAnsi="Times New Roman" w:cs="Times New Roman"/>
              </w:rPr>
              <w:t xml:space="preserve">zakresu leczenia szpitalnego </w:t>
            </w:r>
            <w:r>
              <w:rPr>
                <w:rFonts w:ascii="Times New Roman" w:eastAsia="Calibri" w:hAnsi="Times New Roman" w:cs="Times New Roman"/>
              </w:rPr>
              <w:t>przepisów dotyczących nowych świadczeń gwarantowanych zostało oparte na procesie kwalifikacji świadczeń opieki zdrowotnej jako świadczeń gwarantowanych i implementuje propozycje rozwiązań zawartych w rekomendacjach Prezesa Agencji Oceny Technologii Medycznych i Taryfikacji.</w:t>
            </w:r>
          </w:p>
          <w:p w14:paraId="27A592C5" w14:textId="77777777" w:rsidR="00BC72DF" w:rsidRDefault="00BC72DF" w:rsidP="00BC72DF">
            <w:pPr>
              <w:suppressAutoHyphen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Zmiany mają na celu:</w:t>
            </w:r>
          </w:p>
          <w:p w14:paraId="15FC59AC" w14:textId="77777777" w:rsidR="00BC72DF" w:rsidRDefault="00BC72DF" w:rsidP="00BC72DF">
            <w:pPr>
              <w:suppressAutoHyphens/>
              <w:autoSpaceDE w:val="0"/>
              <w:autoSpaceDN w:val="0"/>
              <w:adjustRightInd w:val="0"/>
              <w:spacing w:after="0" w:line="240" w:lineRule="auto"/>
              <w:jc w:val="both"/>
              <w:rPr>
                <w:rFonts w:ascii="Times New Roman" w:eastAsia="Calibri" w:hAnsi="Times New Roman" w:cs="Times New Roman"/>
                <w:bCs/>
                <w:lang w:eastAsia="pl-PL"/>
              </w:rPr>
            </w:pPr>
            <w:r>
              <w:rPr>
                <w:rFonts w:ascii="Times New Roman" w:eastAsia="Calibri" w:hAnsi="Times New Roman" w:cs="Times New Roman"/>
              </w:rPr>
              <w:t xml:space="preserve">- </w:t>
            </w:r>
            <w:r>
              <w:rPr>
                <w:rFonts w:ascii="Times New Roman" w:eastAsia="Calibri" w:hAnsi="Times New Roman" w:cs="Times New Roman"/>
                <w:bCs/>
                <w:lang w:eastAsia="pl-PL"/>
              </w:rPr>
              <w:t>zapewnienie</w:t>
            </w:r>
            <w:r w:rsidRPr="00BC72DF">
              <w:rPr>
                <w:rFonts w:ascii="Times New Roman" w:eastAsia="Calibri" w:hAnsi="Times New Roman" w:cs="Times New Roman"/>
              </w:rPr>
              <w:t xml:space="preserve"> dostępu do zabiegów restenozy </w:t>
            </w:r>
            <w:r w:rsidRPr="00BC72DF">
              <w:rPr>
                <w:rFonts w:ascii="Times New Roman" w:eastAsia="Calibri" w:hAnsi="Times New Roman" w:cs="Times New Roman"/>
                <w:bCs/>
                <w:lang w:eastAsia="pl-PL"/>
              </w:rPr>
              <w:t>naczyń wieńcowych za pomocą balonu uwalniającego lek</w:t>
            </w:r>
            <w:r>
              <w:rPr>
                <w:rFonts w:ascii="Times New Roman" w:eastAsia="Calibri" w:hAnsi="Times New Roman" w:cs="Times New Roman"/>
                <w:bCs/>
                <w:lang w:eastAsia="pl-PL"/>
              </w:rPr>
              <w:t>;</w:t>
            </w:r>
          </w:p>
          <w:p w14:paraId="0D08E79D" w14:textId="77777777" w:rsidR="00BC72DF" w:rsidRDefault="00BC72DF" w:rsidP="00BC72DF">
            <w:pPr>
              <w:suppressAutoHyphens/>
              <w:autoSpaceDE w:val="0"/>
              <w:autoSpaceDN w:val="0"/>
              <w:adjustRightInd w:val="0"/>
              <w:spacing w:after="0" w:line="240" w:lineRule="auto"/>
              <w:jc w:val="both"/>
              <w:rPr>
                <w:rFonts w:ascii="Times New Roman" w:eastAsia="Calibri" w:hAnsi="Times New Roman" w:cs="Times New Roman"/>
                <w:bCs/>
                <w:lang w:eastAsia="pl-PL"/>
              </w:rPr>
            </w:pPr>
            <w:r>
              <w:rPr>
                <w:rFonts w:ascii="Times New Roman" w:eastAsia="Calibri" w:hAnsi="Times New Roman" w:cs="Times New Roman"/>
                <w:bCs/>
                <w:lang w:eastAsia="pl-PL"/>
              </w:rPr>
              <w:t>- zapewnienie dostępu do zabiegu protezowania rogówki;</w:t>
            </w:r>
          </w:p>
          <w:p w14:paraId="29AA3A7E" w14:textId="77777777" w:rsidR="00BC72DF" w:rsidRDefault="00BC72DF" w:rsidP="00BC72DF">
            <w:pPr>
              <w:suppressAutoHyphens/>
              <w:autoSpaceDE w:val="0"/>
              <w:autoSpaceDN w:val="0"/>
              <w:adjustRightInd w:val="0"/>
              <w:spacing w:after="0" w:line="240" w:lineRule="auto"/>
              <w:jc w:val="both"/>
              <w:rPr>
                <w:rFonts w:ascii="Times New Roman" w:eastAsia="Calibri" w:hAnsi="Times New Roman" w:cs="Times New Roman"/>
                <w:bCs/>
                <w:lang w:eastAsia="pl-PL"/>
              </w:rPr>
            </w:pPr>
            <w:r>
              <w:rPr>
                <w:rFonts w:ascii="Times New Roman" w:eastAsia="Calibri" w:hAnsi="Times New Roman" w:cs="Times New Roman"/>
                <w:bCs/>
                <w:lang w:eastAsia="pl-PL"/>
              </w:rPr>
              <w:t>- zapewnienie dostępu do zabiegu protezowania cewki moczowej lub protezowania moczowodu;</w:t>
            </w:r>
          </w:p>
          <w:p w14:paraId="0292C00E" w14:textId="77777777" w:rsidR="00BC72DF" w:rsidRDefault="00BC72DF" w:rsidP="00BC72DF">
            <w:pPr>
              <w:suppressAutoHyphens/>
              <w:autoSpaceDE w:val="0"/>
              <w:autoSpaceDN w:val="0"/>
              <w:adjustRightInd w:val="0"/>
              <w:spacing w:after="0" w:line="240" w:lineRule="auto"/>
              <w:jc w:val="both"/>
              <w:rPr>
                <w:rFonts w:ascii="Times New Roman" w:eastAsia="Calibri" w:hAnsi="Times New Roman" w:cs="Times New Roman"/>
                <w:bCs/>
                <w:lang w:eastAsia="pl-PL"/>
              </w:rPr>
            </w:pPr>
            <w:r>
              <w:rPr>
                <w:rFonts w:ascii="Times New Roman" w:eastAsia="Calibri" w:hAnsi="Times New Roman" w:cs="Times New Roman"/>
                <w:bCs/>
                <w:lang w:eastAsia="pl-PL"/>
              </w:rPr>
              <w:t>- zapewnienie dostępu do zabiegu leczenia nowotworów jelita grubego, gruczołu krokowego, nowotworów błony śluzowej trzonu macicy z wykorzystaniem systemu robotowego;</w:t>
            </w:r>
          </w:p>
          <w:p w14:paraId="52DE891D" w14:textId="77777777" w:rsidR="00BC72DF" w:rsidRDefault="00BC72DF" w:rsidP="00BC72DF">
            <w:pPr>
              <w:suppressAutoHyphens/>
              <w:autoSpaceDE w:val="0"/>
              <w:autoSpaceDN w:val="0"/>
              <w:adjustRightInd w:val="0"/>
              <w:spacing w:after="0" w:line="240" w:lineRule="auto"/>
              <w:jc w:val="both"/>
              <w:rPr>
                <w:rFonts w:ascii="Times New Roman" w:eastAsia="Calibri" w:hAnsi="Times New Roman" w:cs="Times New Roman"/>
                <w:bCs/>
                <w:lang w:eastAsia="pl-PL"/>
              </w:rPr>
            </w:pPr>
            <w:r>
              <w:rPr>
                <w:rFonts w:ascii="Times New Roman" w:eastAsia="Calibri" w:hAnsi="Times New Roman" w:cs="Times New Roman"/>
                <w:bCs/>
                <w:lang w:eastAsia="pl-PL"/>
              </w:rPr>
              <w:t>- zapewnienie dostępu do zabiegów neuromodulacji krzyżowej;</w:t>
            </w:r>
          </w:p>
          <w:p w14:paraId="3E3F07F0" w14:textId="77777777" w:rsidR="00BC72DF" w:rsidRDefault="00BC72DF" w:rsidP="00BC72DF">
            <w:pPr>
              <w:suppressAutoHyphen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bCs/>
                <w:lang w:eastAsia="pl-PL"/>
              </w:rPr>
              <w:t>- zapewnienie dostępu do zabiegu m</w:t>
            </w:r>
            <w:r w:rsidRPr="00BC72DF">
              <w:rPr>
                <w:rFonts w:ascii="Times New Roman" w:eastAsia="Calibri" w:hAnsi="Times New Roman" w:cs="Times New Roman"/>
                <w:bCs/>
                <w:lang w:eastAsia="pl-PL"/>
              </w:rPr>
              <w:t>echaniczne</w:t>
            </w:r>
            <w:r>
              <w:rPr>
                <w:rFonts w:ascii="Times New Roman" w:eastAsia="Calibri" w:hAnsi="Times New Roman" w:cs="Times New Roman"/>
                <w:bCs/>
                <w:lang w:eastAsia="pl-PL"/>
              </w:rPr>
              <w:t>go</w:t>
            </w:r>
            <w:r w:rsidRPr="00BC72DF">
              <w:rPr>
                <w:rFonts w:ascii="Times New Roman" w:eastAsia="Calibri" w:hAnsi="Times New Roman" w:cs="Times New Roman"/>
                <w:bCs/>
                <w:lang w:eastAsia="pl-PL"/>
              </w:rPr>
              <w:t xml:space="preserve"> udrażniani</w:t>
            </w:r>
            <w:r>
              <w:rPr>
                <w:rFonts w:ascii="Times New Roman" w:eastAsia="Calibri" w:hAnsi="Times New Roman" w:cs="Times New Roman"/>
                <w:bCs/>
                <w:lang w:eastAsia="pl-PL"/>
              </w:rPr>
              <w:t>a</w:t>
            </w:r>
            <w:r w:rsidRPr="00BC72DF">
              <w:rPr>
                <w:rFonts w:ascii="Times New Roman" w:eastAsia="Calibri" w:hAnsi="Times New Roman" w:cs="Times New Roman"/>
                <w:bCs/>
                <w:lang w:eastAsia="pl-PL"/>
              </w:rPr>
              <w:t xml:space="preserve"> tętnic mózgowych z podaniem leku fibrynolitycznego w ostrej fazie udaru niedokrwiennego</w:t>
            </w:r>
            <w:r>
              <w:rPr>
                <w:rFonts w:ascii="Times New Roman" w:eastAsia="Calibri" w:hAnsi="Times New Roman" w:cs="Times New Roman"/>
              </w:rPr>
              <w:t>;</w:t>
            </w:r>
          </w:p>
          <w:p w14:paraId="132049F9" w14:textId="77777777" w:rsidR="00BC72DF" w:rsidRPr="00BC72DF" w:rsidRDefault="00BC72DF" w:rsidP="00BC72DF">
            <w:pPr>
              <w:suppressAutoHyphen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bCs/>
                <w:lang w:eastAsia="pl-PL"/>
              </w:rPr>
              <w:t>- zapewnienie dostępu do zabiegu chirurgicznego leczenia otyłości.</w:t>
            </w:r>
          </w:p>
          <w:p w14:paraId="58C28962" w14:textId="77777777" w:rsidR="0010032A" w:rsidRPr="0010032A" w:rsidRDefault="00154D11" w:rsidP="00154D11">
            <w:pPr>
              <w:suppressAutoHyphens/>
              <w:autoSpaceDE w:val="0"/>
              <w:autoSpaceDN w:val="0"/>
              <w:adjustRightInd w:val="0"/>
              <w:spacing w:before="120" w:after="120" w:line="240" w:lineRule="auto"/>
              <w:jc w:val="both"/>
              <w:rPr>
                <w:rFonts w:ascii="Times New Roman" w:eastAsia="Calibri" w:hAnsi="Times New Roman" w:cs="Times New Roman"/>
                <w:bCs/>
                <w:lang w:eastAsia="pl-PL"/>
              </w:rPr>
            </w:pPr>
            <w:r>
              <w:rPr>
                <w:rFonts w:ascii="Times New Roman" w:eastAsia="Calibri" w:hAnsi="Times New Roman" w:cs="Times New Roman"/>
                <w:bCs/>
                <w:lang w:eastAsia="pl-PL"/>
              </w:rPr>
              <w:t>L</w:t>
            </w:r>
            <w:r w:rsidR="0010032A" w:rsidRPr="0010032A">
              <w:rPr>
                <w:rFonts w:ascii="Times New Roman" w:eastAsia="Calibri" w:hAnsi="Times New Roman" w:cs="Times New Roman"/>
                <w:bCs/>
                <w:lang w:eastAsia="pl-PL"/>
              </w:rPr>
              <w:t xml:space="preserve">eczenie restenozy naczyń wieńcowych za pomocą </w:t>
            </w:r>
            <w:r w:rsidR="00BC72DF">
              <w:rPr>
                <w:rFonts w:ascii="Times New Roman" w:eastAsia="Calibri" w:hAnsi="Times New Roman" w:cs="Times New Roman"/>
                <w:bCs/>
                <w:lang w:eastAsia="pl-PL"/>
              </w:rPr>
              <w:t xml:space="preserve">balonu uwalniającego leku. </w:t>
            </w:r>
            <w:r w:rsidRPr="00154D11">
              <w:rPr>
                <w:rFonts w:ascii="Times New Roman" w:eastAsia="Calibri" w:hAnsi="Times New Roman" w:cs="Times New Roman"/>
                <w:bCs/>
                <w:lang w:eastAsia="pl-PL"/>
              </w:rPr>
              <w:t xml:space="preserve">Implementacja </w:t>
            </w:r>
            <w:r w:rsidR="00BC72DF">
              <w:rPr>
                <w:rFonts w:ascii="Times New Roman" w:eastAsia="Calibri" w:hAnsi="Times New Roman" w:cs="Times New Roman"/>
                <w:bCs/>
                <w:lang w:eastAsia="pl-PL"/>
              </w:rPr>
              <w:t>świadczenia do </w:t>
            </w:r>
            <w:r w:rsidRPr="00154D11">
              <w:rPr>
                <w:rFonts w:ascii="Times New Roman" w:eastAsia="Calibri" w:hAnsi="Times New Roman" w:cs="Times New Roman"/>
                <w:bCs/>
                <w:lang w:eastAsia="pl-PL"/>
              </w:rPr>
              <w:t xml:space="preserve">wykazu jest zasadna zarówno z klinicznego jak i ekonomicznego punktu widzenia. </w:t>
            </w:r>
            <w:r>
              <w:rPr>
                <w:rFonts w:ascii="Times New Roman" w:eastAsia="Calibri" w:hAnsi="Times New Roman" w:cs="Times New Roman"/>
                <w:bCs/>
                <w:lang w:eastAsia="pl-PL"/>
              </w:rPr>
              <w:t xml:space="preserve">Celem oceny skuteczności i bezpieczeństwa metody, </w:t>
            </w:r>
            <w:r w:rsidRPr="00154D11">
              <w:rPr>
                <w:rFonts w:ascii="Times New Roman" w:eastAsia="Calibri" w:hAnsi="Times New Roman" w:cs="Times New Roman"/>
                <w:bCs/>
                <w:lang w:eastAsia="pl-PL"/>
              </w:rPr>
              <w:t>odnaleziono dwa badania rejestrowe (World Wide Registry oraz SCAAR) oceniające skuteczność zastosowania DEB i DES. Oba badania wskazują wyższą skuteczność DEB.</w:t>
            </w:r>
            <w:r>
              <w:rPr>
                <w:rFonts w:ascii="Times New Roman" w:eastAsia="Calibri" w:hAnsi="Times New Roman" w:cs="Times New Roman"/>
                <w:bCs/>
                <w:lang w:eastAsia="pl-PL"/>
              </w:rPr>
              <w:t xml:space="preserve"> E</w:t>
            </w:r>
            <w:r w:rsidRPr="00154D11">
              <w:rPr>
                <w:rFonts w:ascii="Times New Roman" w:eastAsia="Calibri" w:hAnsi="Times New Roman" w:cs="Times New Roman"/>
                <w:bCs/>
                <w:lang w:eastAsia="pl-PL"/>
              </w:rPr>
              <w:t>konomiczne uzasadni</w:t>
            </w:r>
            <w:r>
              <w:rPr>
                <w:rFonts w:ascii="Times New Roman" w:eastAsia="Calibri" w:hAnsi="Times New Roman" w:cs="Times New Roman"/>
                <w:bCs/>
                <w:lang w:eastAsia="pl-PL"/>
              </w:rPr>
              <w:t>enie zakwalifikowania przedmiotowego świadczenia opieki zdrowotnej jako świadczenia gwarantowanego</w:t>
            </w:r>
            <w:r w:rsidRPr="00154D11">
              <w:rPr>
                <w:rFonts w:ascii="Times New Roman" w:eastAsia="Calibri" w:hAnsi="Times New Roman" w:cs="Times New Roman"/>
                <w:bCs/>
                <w:lang w:eastAsia="pl-PL"/>
              </w:rPr>
              <w:t xml:space="preserve"> wyraża się </w:t>
            </w:r>
            <w:r>
              <w:rPr>
                <w:rFonts w:ascii="Times New Roman" w:eastAsia="Calibri" w:hAnsi="Times New Roman" w:cs="Times New Roman"/>
                <w:bCs/>
                <w:lang w:eastAsia="pl-PL"/>
              </w:rPr>
              <w:t xml:space="preserve">w </w:t>
            </w:r>
            <w:r w:rsidRPr="00154D11">
              <w:rPr>
                <w:rFonts w:ascii="Times New Roman" w:eastAsia="Calibri" w:hAnsi="Times New Roman" w:cs="Times New Roman"/>
                <w:bCs/>
                <w:lang w:eastAsia="pl-PL"/>
              </w:rPr>
              <w:t>analizach ekonomicznych, przeprowadzonych w Niemczech (Dorenkamp 2013, Bonaventura 2013), Wielkiej Brytanii (NICE 2010) oraz Korei Płd. (Park 2011). Autorzy wszystkich tych analiz, na podstawie wymodelowanych wyników, wnioskują o opłacalności stosowania DEB w restonezie. Zastosowanie balonu uwalniającego lek wiązało się z lepszymi efektami niż zastosowanie D</w:t>
            </w:r>
            <w:r>
              <w:rPr>
                <w:rFonts w:ascii="Times New Roman" w:eastAsia="Calibri" w:hAnsi="Times New Roman" w:cs="Times New Roman"/>
                <w:bCs/>
                <w:lang w:eastAsia="pl-PL"/>
              </w:rPr>
              <w:t xml:space="preserve">ES, w horyzoncie, odpowiednio, </w:t>
            </w:r>
            <w:r w:rsidRPr="00154D11">
              <w:rPr>
                <w:rFonts w:ascii="Times New Roman" w:eastAsia="Calibri" w:hAnsi="Times New Roman" w:cs="Times New Roman"/>
                <w:bCs/>
                <w:lang w:eastAsia="pl-PL"/>
              </w:rPr>
              <w:t>6 i 12 miesięcy.</w:t>
            </w:r>
            <w:r>
              <w:rPr>
                <w:rFonts w:ascii="Times New Roman" w:eastAsia="Calibri" w:hAnsi="Times New Roman" w:cs="Times New Roman"/>
                <w:bCs/>
                <w:lang w:eastAsia="pl-PL"/>
              </w:rPr>
              <w:t xml:space="preserve"> W analizie wpływu na budżet ponadto oszacowano, że zastosowanie metody </w:t>
            </w:r>
            <w:r w:rsidRPr="00154D11">
              <w:rPr>
                <w:rFonts w:ascii="Times New Roman" w:eastAsia="Calibri" w:hAnsi="Times New Roman" w:cs="Times New Roman"/>
                <w:bCs/>
                <w:lang w:eastAsia="pl-PL"/>
              </w:rPr>
              <w:t>będzie wiązało się z oszczędnościami rzędu 115-120 tys. PLN</w:t>
            </w:r>
            <w:r>
              <w:rPr>
                <w:rFonts w:ascii="Times New Roman" w:eastAsia="Calibri" w:hAnsi="Times New Roman" w:cs="Times New Roman"/>
                <w:bCs/>
                <w:lang w:eastAsia="pl-PL"/>
              </w:rPr>
              <w:t xml:space="preserve"> w perspektywie pacjenta</w:t>
            </w:r>
            <w:r w:rsidRPr="00154D11">
              <w:rPr>
                <w:rFonts w:ascii="Times New Roman" w:eastAsia="Calibri" w:hAnsi="Times New Roman" w:cs="Times New Roman"/>
                <w:bCs/>
                <w:lang w:eastAsia="pl-PL"/>
              </w:rPr>
              <w:t>, wynikającymi z mniejszych wydatków na skróconą podwójną terapi</w:t>
            </w:r>
            <w:r>
              <w:rPr>
                <w:rFonts w:ascii="Times New Roman" w:eastAsia="Calibri" w:hAnsi="Times New Roman" w:cs="Times New Roman"/>
                <w:bCs/>
                <w:lang w:eastAsia="pl-PL"/>
              </w:rPr>
              <w:t>ę przeciwpłytkową po zastosowaniu świadczenia.</w:t>
            </w:r>
          </w:p>
          <w:p w14:paraId="3A1D49B9" w14:textId="77777777" w:rsidR="00154D11" w:rsidRDefault="00154D11" w:rsidP="0010032A">
            <w:pPr>
              <w:suppressAutoHyphens/>
              <w:autoSpaceDE w:val="0"/>
              <w:autoSpaceDN w:val="0"/>
              <w:adjustRightInd w:val="0"/>
              <w:spacing w:before="120" w:after="120" w:line="240" w:lineRule="auto"/>
              <w:jc w:val="both"/>
              <w:rPr>
                <w:rFonts w:ascii="Times New Roman" w:eastAsia="Calibri" w:hAnsi="Times New Roman" w:cs="Times New Roman"/>
                <w:bCs/>
                <w:lang w:eastAsia="pl-PL"/>
              </w:rPr>
            </w:pPr>
            <w:r>
              <w:rPr>
                <w:rFonts w:ascii="Times New Roman" w:eastAsia="Calibri" w:hAnsi="Times New Roman" w:cs="Times New Roman"/>
                <w:bCs/>
                <w:lang w:eastAsia="pl-PL"/>
              </w:rPr>
              <w:t>P</w:t>
            </w:r>
            <w:r w:rsidR="00B22AE1">
              <w:rPr>
                <w:rFonts w:ascii="Times New Roman" w:eastAsia="Calibri" w:hAnsi="Times New Roman" w:cs="Times New Roman"/>
                <w:bCs/>
                <w:lang w:eastAsia="pl-PL"/>
              </w:rPr>
              <w:t>rotezowanie rogówki.</w:t>
            </w:r>
            <w:r>
              <w:rPr>
                <w:rFonts w:ascii="Times New Roman" w:eastAsia="Calibri" w:hAnsi="Times New Roman" w:cs="Times New Roman"/>
                <w:bCs/>
                <w:lang w:eastAsia="pl-PL"/>
              </w:rPr>
              <w:t xml:space="preserve"> </w:t>
            </w:r>
            <w:r w:rsidRPr="00154D11">
              <w:rPr>
                <w:rFonts w:ascii="Times New Roman" w:eastAsia="Calibri" w:hAnsi="Times New Roman" w:cs="Times New Roman"/>
                <w:bCs/>
                <w:lang w:eastAsia="pl-PL"/>
              </w:rPr>
              <w:t>Implementacja powyższego świadczenia do wykazu jest zasadna zarówno z klinicznego jak i ekonomicznego punktu widzenia. Wprowadzenie keratoprotezowania jako świadczenia gwarantowanego zapewni opcję terapeutyczną dla pacjentów, którzy ze względu na złe rokowanie, nie mogą być zakwalifikowani do zabiegu przeszczepienia rogówki. Świadczenie pozwoli uchronić tych pacjentów przed trwałą ślepotą i przywróci im zdolność do samodzielnej egzystencji. Wprowadzenie powyższego świadczenia realizuje niezaspokojoną potrzebę zdrowotną dotyczącą pacjentów dotkniętych utratą przeźroczystości rogówki u których leczenie farmakologiczne nie udaje się przywrócić pierwotnej funkcji rogówki, a tym samym poprawić sprawności funkcji gałki ocznej. Świadczenie będzie dedykowane do celowanej populacji kwalifikowanej do zabiegu keratoprotezowania, czyli przede wszystkim chorzy po kilkukrotnym przeszczepieniu rogówki, u których dochodzi do ponownych odrzutów z powodu znacznej immunizacji tkanek otaczających powierzchnię oka, chorzy z zespołem Stevensa-Johnsona i pemfigoidem ocznym oraz pacjenci ze schorzeniami o charakterze autoagresywnym.</w:t>
            </w:r>
          </w:p>
          <w:p w14:paraId="10A1FEE0" w14:textId="77777777" w:rsidR="0010032A" w:rsidRPr="0010032A" w:rsidRDefault="00154D11" w:rsidP="00154D11">
            <w:pPr>
              <w:suppressAutoHyphens/>
              <w:autoSpaceDE w:val="0"/>
              <w:autoSpaceDN w:val="0"/>
              <w:adjustRightInd w:val="0"/>
              <w:spacing w:before="120" w:after="120" w:line="240" w:lineRule="auto"/>
              <w:jc w:val="both"/>
              <w:rPr>
                <w:rFonts w:ascii="Times New Roman" w:eastAsia="Calibri" w:hAnsi="Times New Roman" w:cs="Times New Roman"/>
                <w:bCs/>
                <w:lang w:eastAsia="pl-PL"/>
              </w:rPr>
            </w:pPr>
            <w:r>
              <w:rPr>
                <w:rFonts w:ascii="Times New Roman" w:eastAsia="Calibri" w:hAnsi="Times New Roman" w:cs="Times New Roman"/>
                <w:bCs/>
                <w:lang w:eastAsia="pl-PL"/>
              </w:rPr>
              <w:lastRenderedPageBreak/>
              <w:t>P</w:t>
            </w:r>
            <w:r w:rsidR="0010032A" w:rsidRPr="0010032A">
              <w:rPr>
                <w:rFonts w:ascii="Times New Roman" w:eastAsia="Calibri" w:hAnsi="Times New Roman" w:cs="Times New Roman"/>
                <w:bCs/>
                <w:lang w:eastAsia="pl-PL"/>
              </w:rPr>
              <w:t>rotezowanie moczowodu lub cewki moczowej protezą metalową</w:t>
            </w:r>
            <w:r>
              <w:rPr>
                <w:rFonts w:ascii="Times New Roman" w:eastAsia="Calibri" w:hAnsi="Times New Roman" w:cs="Times New Roman"/>
                <w:bCs/>
                <w:lang w:eastAsia="pl-PL"/>
              </w:rPr>
              <w:t xml:space="preserve">. </w:t>
            </w:r>
            <w:r w:rsidRPr="00154D11">
              <w:rPr>
                <w:rFonts w:ascii="Times New Roman" w:eastAsia="Calibri" w:hAnsi="Times New Roman" w:cs="Times New Roman"/>
                <w:bCs/>
                <w:lang w:eastAsia="pl-PL"/>
              </w:rPr>
              <w:t>Implementacja powyższego świadczenia do wykazu jest zasadna z klinicznego oraz ekonomicznego punktu widzenia.</w:t>
            </w:r>
            <w:r>
              <w:rPr>
                <w:rFonts w:ascii="Times New Roman" w:eastAsia="Calibri" w:hAnsi="Times New Roman" w:cs="Times New Roman"/>
                <w:bCs/>
                <w:lang w:eastAsia="pl-PL"/>
              </w:rPr>
              <w:t xml:space="preserve"> </w:t>
            </w:r>
            <w:r w:rsidRPr="00154D11">
              <w:rPr>
                <w:rFonts w:ascii="Times New Roman" w:eastAsia="Calibri" w:hAnsi="Times New Roman" w:cs="Times New Roman"/>
                <w:bCs/>
                <w:lang w:eastAsia="pl-PL"/>
              </w:rPr>
              <w:t>Dowody te wskazują na istotną korzyść z zastosowania omawianej technologii, ponieważ pacjenci lepiej oceniają zdolność opróżniania pęcherza, podkreślają brak wpływu na funkcje seksualne, poprawę dotyczącą bólu, lepszą ogólną ocenę zdrowia i mniejsze objawy związane z układem moczowym. Jednocześnie infekcje w drogach moczowych obserwowane są 1,5-krotnie rzadziej w porównaniu do cewnikowania, rzadsze też jest występowanie ropy w moczu. Utrzymanie drożności moczowodu i czas do wystąpienia niedrożności są znamiennie wydłużone, większa liczba pacjentów uzyskuje prawidłowy przepływ moczowy.</w:t>
            </w:r>
            <w:r>
              <w:rPr>
                <w:rFonts w:ascii="Times New Roman" w:eastAsia="Calibri" w:hAnsi="Times New Roman" w:cs="Times New Roman"/>
                <w:bCs/>
                <w:lang w:eastAsia="pl-PL"/>
              </w:rPr>
              <w:t xml:space="preserve"> </w:t>
            </w:r>
            <w:r w:rsidRPr="00154D11">
              <w:rPr>
                <w:rFonts w:ascii="Times New Roman" w:eastAsia="Calibri" w:hAnsi="Times New Roman" w:cs="Times New Roman"/>
                <w:bCs/>
                <w:lang w:eastAsia="pl-PL"/>
              </w:rPr>
              <w:t>Jednocześnie należy wskazać, że aktualnie finansowane i stosowane terapie wiążą się z uciążliwym cewnikowaniem, a tradycyjne stenty mogą wymagać kilkukrotnej wymiany w ciągu roku.</w:t>
            </w:r>
            <w:r>
              <w:rPr>
                <w:rFonts w:ascii="Times New Roman" w:eastAsia="Calibri" w:hAnsi="Times New Roman" w:cs="Times New Roman"/>
                <w:bCs/>
                <w:lang w:eastAsia="pl-PL"/>
              </w:rPr>
              <w:t xml:space="preserve"> </w:t>
            </w:r>
            <w:r w:rsidRPr="00154D11">
              <w:rPr>
                <w:rFonts w:ascii="Times New Roman" w:eastAsia="Calibri" w:hAnsi="Times New Roman" w:cs="Times New Roman"/>
                <w:bCs/>
                <w:lang w:eastAsia="pl-PL"/>
              </w:rPr>
              <w:t>Uzasadnienie implementacji powyższego świadczenia do wykazu, z ekonomicznego punktu widzenia wyraża się w tym, że we wszystkich odnalezionych analizach ekonomicznych wnioski są zbieżne, a mianowicie zastosowanie stentów metalowych w niedrożności moczowodu w rocznym horyzoncie czasowym jest tańszą opcją leczenia w porównaniu do stentów tradycyjnych, (pomimo, że koszt samego stentu metalowego jest droższy od tradycyjnego). Przyczyną powyższych oszczędności jest fakt braku konieczności wymiany stentów metalowych (tradycyjne stenty są wymieniane 3-4 razy w ciągu roku).</w:t>
            </w:r>
          </w:p>
          <w:p w14:paraId="31BB817C" w14:textId="77777777" w:rsidR="0010032A" w:rsidRPr="0010032A" w:rsidRDefault="00154D11" w:rsidP="0010032A">
            <w:pPr>
              <w:suppressAutoHyphens/>
              <w:autoSpaceDE w:val="0"/>
              <w:autoSpaceDN w:val="0"/>
              <w:adjustRightInd w:val="0"/>
              <w:spacing w:before="120" w:after="120" w:line="240" w:lineRule="auto"/>
              <w:jc w:val="both"/>
              <w:rPr>
                <w:rFonts w:ascii="Times New Roman" w:eastAsia="Calibri" w:hAnsi="Times New Roman" w:cs="Times New Roman"/>
                <w:bCs/>
                <w:lang w:eastAsia="pl-PL"/>
              </w:rPr>
            </w:pPr>
            <w:r>
              <w:rPr>
                <w:rFonts w:ascii="Times New Roman" w:eastAsia="Calibri" w:hAnsi="Times New Roman" w:cs="Times New Roman"/>
                <w:bCs/>
                <w:lang w:eastAsia="pl-PL"/>
              </w:rPr>
              <w:t>N</w:t>
            </w:r>
            <w:r w:rsidR="0010032A" w:rsidRPr="0010032A">
              <w:rPr>
                <w:rFonts w:ascii="Times New Roman" w:eastAsia="Calibri" w:hAnsi="Times New Roman" w:cs="Times New Roman"/>
                <w:bCs/>
                <w:lang w:eastAsia="pl-PL"/>
              </w:rPr>
              <w:t>euromodulacja krzyżowa</w:t>
            </w:r>
            <w:r>
              <w:rPr>
                <w:rFonts w:ascii="Times New Roman" w:eastAsia="Calibri" w:hAnsi="Times New Roman" w:cs="Times New Roman"/>
                <w:bCs/>
                <w:lang w:eastAsia="pl-PL"/>
              </w:rPr>
              <w:t xml:space="preserve">. </w:t>
            </w:r>
            <w:r w:rsidR="006542DF" w:rsidRPr="006542DF">
              <w:rPr>
                <w:rFonts w:ascii="Times New Roman" w:eastAsia="Calibri" w:hAnsi="Times New Roman" w:cs="Times New Roman"/>
                <w:bCs/>
                <w:lang w:eastAsia="pl-PL"/>
              </w:rPr>
              <w:t>Implementacja powyższego świadczenia do wykazu świadcze</w:t>
            </w:r>
            <w:r w:rsidR="000F125C">
              <w:rPr>
                <w:rFonts w:ascii="Times New Roman" w:eastAsia="Calibri" w:hAnsi="Times New Roman" w:cs="Times New Roman"/>
                <w:bCs/>
                <w:lang w:eastAsia="pl-PL"/>
              </w:rPr>
              <w:t>ń gwarantowanych jest zasadna z </w:t>
            </w:r>
            <w:r w:rsidR="006542DF" w:rsidRPr="006542DF">
              <w:rPr>
                <w:rFonts w:ascii="Times New Roman" w:eastAsia="Calibri" w:hAnsi="Times New Roman" w:cs="Times New Roman"/>
                <w:bCs/>
                <w:lang w:eastAsia="pl-PL"/>
              </w:rPr>
              <w:t>klinicznego oraz ekonomicznego punktu widzenia. Dostępne dowody naukowe wskazują na użyteczność neuromodulacji krzyżowej jako opcji terapeutycznej w leczeniu zaburzeń czynności dolnych dróg moczowych. W badaniach wykazano, że zastosowanie tej metody leczenia przynosi istotną statystycznie poprawę w zakresie parametrów mikcyjnych, w tym pod względem liczby epizodów nietrzymania moczu na dzień, nasilenia nietrzymania moczu, jak również zużycia materiałów absorpcyjnych, a także przyczynia się do poprawy w zakresie jakości życia pacjentów. Na podstawie analizy kosztów-użyteczności przeprowadzonej w dożywotnim horyzoncie czasowym, przy uwzględnieniu bezpośrednich kosztów medycznych, wskaźnik opłacalności świadczenia neuromodulacja krzyżowa wskazuje na efektywność kosztową tej metody terapeutycznej.</w:t>
            </w:r>
          </w:p>
          <w:p w14:paraId="01634F09" w14:textId="77777777" w:rsidR="0010032A" w:rsidRPr="0010032A" w:rsidRDefault="00154D11" w:rsidP="00154D11">
            <w:pPr>
              <w:suppressAutoHyphens/>
              <w:autoSpaceDE w:val="0"/>
              <w:autoSpaceDN w:val="0"/>
              <w:adjustRightInd w:val="0"/>
              <w:spacing w:before="120" w:after="120" w:line="240" w:lineRule="auto"/>
              <w:jc w:val="both"/>
              <w:rPr>
                <w:rFonts w:ascii="Times New Roman" w:eastAsia="Calibri" w:hAnsi="Times New Roman" w:cs="Times New Roman"/>
                <w:bCs/>
                <w:lang w:eastAsia="pl-PL"/>
              </w:rPr>
            </w:pPr>
            <w:r>
              <w:rPr>
                <w:rFonts w:ascii="Times New Roman" w:eastAsia="Calibri" w:hAnsi="Times New Roman" w:cs="Times New Roman"/>
                <w:bCs/>
                <w:lang w:eastAsia="pl-PL"/>
              </w:rPr>
              <w:t>L</w:t>
            </w:r>
            <w:r w:rsidR="0010032A" w:rsidRPr="0010032A">
              <w:rPr>
                <w:rFonts w:ascii="Times New Roman" w:eastAsia="Calibri" w:hAnsi="Times New Roman" w:cs="Times New Roman"/>
                <w:bCs/>
                <w:lang w:eastAsia="pl-PL"/>
              </w:rPr>
              <w:t>eczenie chirurgiczne z zastosowaniem systemu robotowego</w:t>
            </w:r>
            <w:r>
              <w:rPr>
                <w:rFonts w:ascii="Times New Roman" w:eastAsia="Calibri" w:hAnsi="Times New Roman" w:cs="Times New Roman"/>
                <w:bCs/>
                <w:lang w:eastAsia="pl-PL"/>
              </w:rPr>
              <w:t xml:space="preserve">. </w:t>
            </w:r>
            <w:r w:rsidRPr="00154D11">
              <w:rPr>
                <w:rFonts w:ascii="Times New Roman" w:eastAsia="Calibri" w:hAnsi="Times New Roman" w:cs="Times New Roman"/>
                <w:bCs/>
                <w:lang w:eastAsia="pl-PL"/>
              </w:rPr>
              <w:t>Wprowadzenie świadczenia stanowi realizację opinii Prezesa Agencji Oceny Technologii Medycznych i Taryfikacji z dnia 23 maja 2017 r., który w swojej opinii wskazał na zasadność finansowania ocenianej technologii ze środków publicznych. W ślad za rekomendacjami Prezesa Agencji nr 254-256/2014, na podstawie zlecenia Ministra Zdrowia dokonano ponownego przeglądu dowodów naukowych. Analiza doniesień naukowych opublikowanych po dacie wydania rekomendacji wskazała, że przeprowadzenie zabiegów z zastosowaniem systemu robotowego w porównaniu do operacji klasycznych  różnice istotne statystycznie w odniesieniu do części pierwszorzędowych punktów końcowych. Ponadto, odnotowano istotne statystyczni</w:t>
            </w:r>
            <w:r w:rsidR="00B000FC">
              <w:rPr>
                <w:rFonts w:ascii="Times New Roman" w:eastAsia="Calibri" w:hAnsi="Times New Roman" w:cs="Times New Roman"/>
                <w:bCs/>
                <w:lang w:eastAsia="pl-PL"/>
              </w:rPr>
              <w:t>e różnice na korzyść operacji z </w:t>
            </w:r>
            <w:r w:rsidRPr="00154D11">
              <w:rPr>
                <w:rFonts w:ascii="Times New Roman" w:eastAsia="Calibri" w:hAnsi="Times New Roman" w:cs="Times New Roman"/>
                <w:bCs/>
                <w:lang w:eastAsia="pl-PL"/>
              </w:rPr>
              <w:t>zastosowaniem systemu robotowego w odniesieniu do parametrów związanych z czasem trwania operacji, długością pobytu pacjenta w szpitalu oraz występowania śródoperacyjnych zdarzeń niepożądanych. W trakcie oceny zweryfikowano również oszacowanie kosztów operacji z zastosowaniem systemu robotowego w porównaniu do operacji laparoskopowych. Aktualizacja danych kosztowych wskazuje na obniżenie kosztów jednostkowych operacji z zastosowaniem systemu robotowego w porównaniu do kosztów tych zabiegów wykonywanych w przeszłości. Różnica w kosztach wyniosła od 4,2 do 10,6 tys. zł na zabieg. Wskutek obniżenia kosztów jednostkowych, zmniejszyła się również różnica kosztów operacji z zastosowaniem systemu robotowego w porównaniu do operacji laparoskopowych. Z przeglądu publikacji wynika, iż różnica pomiędzy kosztami operacji laparoskopowych a robotowych maleje wraz ze wzrostem doświadczenia operatora w technice robotowej, zintensyfikowaniem operacji, jak i poprawą organizacji i zarządzania operacjami co ma bezpośrednie przełożenie na minimalizację kosztów operacjo robotowych.</w:t>
            </w:r>
            <w:r>
              <w:rPr>
                <w:rFonts w:ascii="Times New Roman" w:eastAsia="Calibri" w:hAnsi="Times New Roman" w:cs="Times New Roman"/>
                <w:bCs/>
                <w:lang w:eastAsia="pl-PL"/>
              </w:rPr>
              <w:t xml:space="preserve"> </w:t>
            </w:r>
            <w:r w:rsidRPr="00154D11">
              <w:rPr>
                <w:rFonts w:ascii="Times New Roman" w:eastAsia="Calibri" w:hAnsi="Times New Roman" w:cs="Times New Roman"/>
                <w:bCs/>
                <w:lang w:eastAsia="pl-PL"/>
              </w:rPr>
              <w:t>Powyższe wskazuje, że implementacja przedmiotowego świadczenia do wykazu jest zasadna z klinicznego oraz ekonomicznego punktu widzenia.</w:t>
            </w:r>
          </w:p>
          <w:p w14:paraId="59DBCFB4" w14:textId="77777777" w:rsidR="0010032A" w:rsidRPr="0010032A" w:rsidRDefault="00A75878" w:rsidP="0010032A">
            <w:pPr>
              <w:suppressAutoHyphens/>
              <w:autoSpaceDE w:val="0"/>
              <w:autoSpaceDN w:val="0"/>
              <w:adjustRightInd w:val="0"/>
              <w:spacing w:before="120" w:after="120" w:line="240" w:lineRule="auto"/>
              <w:jc w:val="both"/>
              <w:rPr>
                <w:rFonts w:ascii="Times New Roman" w:eastAsia="Calibri" w:hAnsi="Times New Roman" w:cs="Times New Roman"/>
                <w:bCs/>
                <w:lang w:eastAsia="pl-PL"/>
              </w:rPr>
            </w:pPr>
            <w:r>
              <w:rPr>
                <w:rFonts w:ascii="Times New Roman" w:eastAsia="Calibri" w:hAnsi="Times New Roman" w:cs="Times New Roman"/>
                <w:bCs/>
                <w:lang w:eastAsia="pl-PL"/>
              </w:rPr>
              <w:t>C</w:t>
            </w:r>
            <w:r w:rsidR="0010032A" w:rsidRPr="0010032A">
              <w:rPr>
                <w:rFonts w:ascii="Times New Roman" w:eastAsia="Calibri" w:hAnsi="Times New Roman" w:cs="Times New Roman"/>
                <w:bCs/>
                <w:lang w:eastAsia="pl-PL"/>
              </w:rPr>
              <w:t>hirurgiczne leczenie otyłości</w:t>
            </w:r>
            <w:r>
              <w:rPr>
                <w:rFonts w:ascii="Times New Roman" w:eastAsia="Calibri" w:hAnsi="Times New Roman" w:cs="Times New Roman"/>
                <w:bCs/>
                <w:lang w:eastAsia="pl-PL"/>
              </w:rPr>
              <w:t xml:space="preserve">. </w:t>
            </w:r>
            <w:r w:rsidR="00B000FC" w:rsidRPr="00B000FC">
              <w:rPr>
                <w:rFonts w:ascii="Times New Roman" w:eastAsia="Calibri" w:hAnsi="Times New Roman" w:cs="Times New Roman"/>
                <w:bCs/>
                <w:lang w:eastAsia="pl-PL"/>
              </w:rPr>
              <w:t>Implementacja powyższego świadczenia do wykazu świadczeń gwarantowanych jest zasadna z klinicznego oraz ekonomicznego punktu widzenia. Na podstawie odnalezionego przeglądu systematycznego wskazano, że w przypadku porównania między sobą różnych zabiegów chirurgicznych, metoda wyłączenia żołądkowego metodą Roux-en Y bypass oraz rękawowa resekcja żołądka są metodami o porównywalnej skuteczności, i są one bardziej skuteczne niż operacja z wykorzystaniem regulowanej opaski żołądkowej w odniesieniu do redukcji masy ciała oraz redukcji wskaźnika Body Mass Index. W przypadku leczenia otyłości należy mieć również na względzie ekonomiczne konsekwencje występowania otyłości i chorób współistniejących, tj. zespół metaboliczny (cukrzyca, nadciśnienie), powikłania zakrzepowo-zatorowe, zmiany zwyrodnieniowe kręgosłupa i stawów, które wynikają z niepodjęcia leczenia u pacjentów z otyłością olbrzymią. Redukcja masy ciała wskutek przeprowadzonego leczenia oraz ograniczenie konsekwencji zdrowotnych i ekonomicznych ww. chorób współistniejących mogą ulegać poprawie wskutek objęcia finansowaniem przedmiotowego świadczenia opieki zdrowotnej ze środków publicznych.</w:t>
            </w:r>
          </w:p>
          <w:p w14:paraId="60BC1883" w14:textId="77777777" w:rsidR="00FC2B2C" w:rsidRPr="00442C01" w:rsidRDefault="007F0B4A" w:rsidP="0010032A">
            <w:pPr>
              <w:suppressAutoHyphens/>
              <w:autoSpaceDE w:val="0"/>
              <w:autoSpaceDN w:val="0"/>
              <w:adjustRightInd w:val="0"/>
              <w:spacing w:before="120" w:after="120" w:line="240" w:lineRule="auto"/>
              <w:jc w:val="both"/>
              <w:rPr>
                <w:rFonts w:ascii="Times New Roman" w:eastAsia="Calibri" w:hAnsi="Times New Roman" w:cs="Times New Roman"/>
                <w:bCs/>
                <w:lang w:eastAsia="pl-PL"/>
              </w:rPr>
            </w:pPr>
            <w:r>
              <w:rPr>
                <w:rFonts w:ascii="Times New Roman" w:eastAsia="Calibri" w:hAnsi="Times New Roman" w:cs="Times New Roman"/>
                <w:bCs/>
                <w:lang w:eastAsia="pl-PL"/>
              </w:rPr>
              <w:t>M</w:t>
            </w:r>
            <w:r w:rsidR="0010032A" w:rsidRPr="0010032A">
              <w:rPr>
                <w:rFonts w:ascii="Times New Roman" w:eastAsia="Calibri" w:hAnsi="Times New Roman" w:cs="Times New Roman"/>
                <w:bCs/>
                <w:lang w:eastAsia="pl-PL"/>
              </w:rPr>
              <w:t>echaniczne udrażnianie tętnic mózgowych z podaniem leku fibrynolitycznego w ost</w:t>
            </w:r>
            <w:r w:rsidR="0010032A">
              <w:rPr>
                <w:rFonts w:ascii="Times New Roman" w:eastAsia="Calibri" w:hAnsi="Times New Roman" w:cs="Times New Roman"/>
                <w:bCs/>
                <w:lang w:eastAsia="pl-PL"/>
              </w:rPr>
              <w:t>rej fazie udaru niedokrwiennego.</w:t>
            </w:r>
            <w:r>
              <w:rPr>
                <w:rFonts w:ascii="Times New Roman" w:eastAsia="Calibri" w:hAnsi="Times New Roman" w:cs="Times New Roman"/>
                <w:bCs/>
                <w:lang w:eastAsia="pl-PL"/>
              </w:rPr>
              <w:t xml:space="preserve"> </w:t>
            </w:r>
            <w:r w:rsidRPr="007F0B4A">
              <w:rPr>
                <w:rFonts w:ascii="Times New Roman" w:eastAsia="Calibri" w:hAnsi="Times New Roman" w:cs="Times New Roman"/>
                <w:bCs/>
                <w:lang w:eastAsia="pl-PL"/>
              </w:rPr>
              <w:t>Implementacja powyższego świadczenia do wykazu jest zasadna z klinicznego oraz ekonomicznego punktu widzenia. Ocena skuteczności klinicznej i bezpieczeństwa wskazuje, że zastosowanie trombektomii mechanicznej w populacji docelowej pacjentów z udarem niedokrwiennym wykazuje poprawę stanu pacjentów w zakresi</w:t>
            </w:r>
            <w:r>
              <w:rPr>
                <w:rFonts w:ascii="Times New Roman" w:eastAsia="Calibri" w:hAnsi="Times New Roman" w:cs="Times New Roman"/>
                <w:bCs/>
                <w:lang w:eastAsia="pl-PL"/>
              </w:rPr>
              <w:t>e oceny stopnia niesprawności i </w:t>
            </w:r>
            <w:r w:rsidRPr="007F0B4A">
              <w:rPr>
                <w:rFonts w:ascii="Times New Roman" w:eastAsia="Calibri" w:hAnsi="Times New Roman" w:cs="Times New Roman"/>
                <w:bCs/>
                <w:lang w:eastAsia="pl-PL"/>
              </w:rPr>
              <w:t>aktywności życia codziennego w porównaniu z pacjentami, u których zastosowano jedynie standardowe postępowanie. Ponadto, na podstawie oceny ekonomicznej przeprowadzonej z wykorzystaniem analizy kosztów-użyteczności wskazano, że proponowana metoda terapeutyczna jest efektywna kosztowo.</w:t>
            </w:r>
          </w:p>
        </w:tc>
      </w:tr>
      <w:tr w:rsidR="007B1E52" w:rsidRPr="00442C01" w14:paraId="122A2D81" w14:textId="77777777" w:rsidTr="00B17DC3">
        <w:trPr>
          <w:gridAfter w:val="1"/>
          <w:wAfter w:w="10" w:type="dxa"/>
          <w:trHeight w:val="307"/>
        </w:trPr>
        <w:tc>
          <w:tcPr>
            <w:tcW w:w="10937" w:type="dxa"/>
            <w:gridSpan w:val="29"/>
            <w:shd w:val="clear" w:color="auto" w:fill="99CCFF"/>
            <w:vAlign w:val="center"/>
          </w:tcPr>
          <w:p w14:paraId="03E8B9BD" w14:textId="77777777" w:rsidR="007B1E52" w:rsidRPr="00442C01" w:rsidRDefault="007B1E52" w:rsidP="00C761E8">
            <w:pPr>
              <w:numPr>
                <w:ilvl w:val="0"/>
                <w:numId w:val="1"/>
              </w:numPr>
              <w:spacing w:before="120" w:after="120" w:line="240" w:lineRule="auto"/>
              <w:ind w:left="318" w:hanging="284"/>
              <w:jc w:val="both"/>
              <w:rPr>
                <w:rFonts w:ascii="Times New Roman" w:eastAsia="Calibri" w:hAnsi="Times New Roman" w:cs="Times New Roman"/>
                <w:b/>
                <w:color w:val="000000"/>
              </w:rPr>
            </w:pPr>
            <w:r w:rsidRPr="00442C01">
              <w:rPr>
                <w:rFonts w:ascii="Times New Roman" w:eastAsia="Calibri" w:hAnsi="Times New Roman" w:cs="Times New Roman"/>
                <w:b/>
                <w:spacing w:val="-2"/>
              </w:rPr>
              <w:lastRenderedPageBreak/>
              <w:t>Jak problem został rozwiązany w innych krajach, w szczególności krajach członkowskich OECD/UE</w:t>
            </w:r>
            <w:r w:rsidRPr="00442C01">
              <w:rPr>
                <w:rFonts w:ascii="Times New Roman" w:eastAsia="Calibri" w:hAnsi="Times New Roman" w:cs="Times New Roman"/>
                <w:b/>
                <w:color w:val="000000"/>
              </w:rPr>
              <w:t>?</w:t>
            </w:r>
            <w:r w:rsidRPr="00442C01">
              <w:rPr>
                <w:rFonts w:ascii="Times New Roman" w:eastAsia="Calibri" w:hAnsi="Times New Roman" w:cs="Times New Roman"/>
                <w:i/>
                <w:color w:val="000000"/>
              </w:rPr>
              <w:t xml:space="preserve"> </w:t>
            </w:r>
          </w:p>
        </w:tc>
      </w:tr>
      <w:tr w:rsidR="007B1E52" w:rsidRPr="00442C01" w14:paraId="2D4BCB08" w14:textId="77777777" w:rsidTr="00B17DC3">
        <w:trPr>
          <w:gridAfter w:val="1"/>
          <w:wAfter w:w="10" w:type="dxa"/>
          <w:trHeight w:val="142"/>
        </w:trPr>
        <w:tc>
          <w:tcPr>
            <w:tcW w:w="10937" w:type="dxa"/>
            <w:gridSpan w:val="29"/>
            <w:shd w:val="clear" w:color="auto" w:fill="auto"/>
          </w:tcPr>
          <w:p w14:paraId="772056EC" w14:textId="77777777" w:rsidR="00B22AE1" w:rsidRPr="0010032A" w:rsidRDefault="005A0888" w:rsidP="00B22AE1">
            <w:pPr>
              <w:suppressAutoHyphens/>
              <w:autoSpaceDE w:val="0"/>
              <w:autoSpaceDN w:val="0"/>
              <w:adjustRightInd w:val="0"/>
              <w:spacing w:before="120" w:after="120" w:line="240" w:lineRule="auto"/>
              <w:jc w:val="both"/>
              <w:rPr>
                <w:rFonts w:ascii="Times New Roman" w:eastAsia="Calibri" w:hAnsi="Times New Roman" w:cs="Times New Roman"/>
                <w:bCs/>
                <w:lang w:eastAsia="pl-PL"/>
              </w:rPr>
            </w:pPr>
            <w:r>
              <w:rPr>
                <w:rFonts w:ascii="Times New Roman" w:eastAsia="Calibri" w:hAnsi="Times New Roman" w:cs="Times New Roman"/>
                <w:bCs/>
                <w:lang w:eastAsia="pl-PL"/>
              </w:rPr>
              <w:t>L</w:t>
            </w:r>
            <w:r w:rsidR="00B22AE1" w:rsidRPr="0010032A">
              <w:rPr>
                <w:rFonts w:ascii="Times New Roman" w:eastAsia="Calibri" w:hAnsi="Times New Roman" w:cs="Times New Roman"/>
                <w:bCs/>
                <w:lang w:eastAsia="pl-PL"/>
              </w:rPr>
              <w:t xml:space="preserve">eczenie restenozy naczyń wieńcowych za pomocą </w:t>
            </w:r>
            <w:r w:rsidR="00B22AE1">
              <w:rPr>
                <w:rFonts w:ascii="Times New Roman" w:eastAsia="Calibri" w:hAnsi="Times New Roman" w:cs="Times New Roman"/>
                <w:bCs/>
                <w:lang w:eastAsia="pl-PL"/>
              </w:rPr>
              <w:t>balonu uwalniającego leku (DEB),. Odnaleziono wytyczne wydane przez „Włoskie Towarzystwo Kardiologii Interwencyjnej (ISIC 2014), German Consensus Group 2013 , Niemieckie Towarzystwo Kardiologiczne (GDK 2011) , Europejskie Towarzystwo Kardiologiczne (ESC) oraz Europejskie Stowarzyszenie Chirurgii Serca i Klatki Piersiowej (EACTS 2010).</w:t>
            </w:r>
          </w:p>
          <w:p w14:paraId="2EB38A41" w14:textId="77777777" w:rsidR="00B22AE1" w:rsidRPr="0010032A" w:rsidRDefault="005A0888" w:rsidP="00B22AE1">
            <w:pPr>
              <w:suppressAutoHyphens/>
              <w:autoSpaceDE w:val="0"/>
              <w:autoSpaceDN w:val="0"/>
              <w:adjustRightInd w:val="0"/>
              <w:spacing w:before="120" w:after="120" w:line="240" w:lineRule="auto"/>
              <w:jc w:val="both"/>
              <w:rPr>
                <w:rFonts w:ascii="Times New Roman" w:eastAsia="Calibri" w:hAnsi="Times New Roman" w:cs="Times New Roman"/>
                <w:bCs/>
                <w:lang w:eastAsia="pl-PL"/>
              </w:rPr>
            </w:pPr>
            <w:r>
              <w:rPr>
                <w:rFonts w:ascii="Times New Roman" w:eastAsia="Calibri" w:hAnsi="Times New Roman" w:cs="Times New Roman"/>
                <w:bCs/>
                <w:lang w:eastAsia="pl-PL"/>
              </w:rPr>
              <w:t>P</w:t>
            </w:r>
            <w:r w:rsidR="00B22AE1">
              <w:rPr>
                <w:rFonts w:ascii="Times New Roman" w:eastAsia="Calibri" w:hAnsi="Times New Roman" w:cs="Times New Roman"/>
                <w:bCs/>
                <w:lang w:eastAsia="pl-PL"/>
              </w:rPr>
              <w:t xml:space="preserve">rotezowanie rogówki. </w:t>
            </w:r>
            <w:r>
              <w:rPr>
                <w:rFonts w:ascii="Times New Roman" w:eastAsia="Calibri" w:hAnsi="Times New Roman" w:cs="Times New Roman"/>
                <w:bCs/>
                <w:lang w:eastAsia="pl-PL"/>
              </w:rPr>
              <w:t>W trakcie przeglądu doniesień nie odnaleziono szczegółowych informacji o sposobie finansowania przedmiotowego świadczenia ze środków publicznych w innych krajach</w:t>
            </w:r>
            <w:r w:rsidR="00B22AE1">
              <w:rPr>
                <w:rFonts w:ascii="Times New Roman" w:eastAsia="Calibri" w:hAnsi="Times New Roman" w:cs="Times New Roman"/>
                <w:bCs/>
                <w:lang w:eastAsia="pl-PL"/>
              </w:rPr>
              <w:t>.</w:t>
            </w:r>
          </w:p>
          <w:p w14:paraId="38CBB675" w14:textId="77777777" w:rsidR="00B22AE1" w:rsidRPr="0010032A" w:rsidRDefault="005A0888" w:rsidP="00B22AE1">
            <w:pPr>
              <w:suppressAutoHyphens/>
              <w:autoSpaceDE w:val="0"/>
              <w:autoSpaceDN w:val="0"/>
              <w:adjustRightInd w:val="0"/>
              <w:spacing w:before="120" w:after="120" w:line="240" w:lineRule="auto"/>
              <w:jc w:val="both"/>
              <w:rPr>
                <w:rFonts w:ascii="Times New Roman" w:eastAsia="Calibri" w:hAnsi="Times New Roman" w:cs="Times New Roman"/>
                <w:bCs/>
                <w:lang w:eastAsia="pl-PL"/>
              </w:rPr>
            </w:pPr>
            <w:r>
              <w:rPr>
                <w:rFonts w:ascii="Times New Roman" w:eastAsia="Calibri" w:hAnsi="Times New Roman" w:cs="Times New Roman"/>
                <w:bCs/>
                <w:lang w:eastAsia="pl-PL"/>
              </w:rPr>
              <w:t>P</w:t>
            </w:r>
            <w:r w:rsidR="00B22AE1" w:rsidRPr="0010032A">
              <w:rPr>
                <w:rFonts w:ascii="Times New Roman" w:eastAsia="Calibri" w:hAnsi="Times New Roman" w:cs="Times New Roman"/>
                <w:bCs/>
                <w:lang w:eastAsia="pl-PL"/>
              </w:rPr>
              <w:t>rotezowanie moczowodu lub cewki moczowej protezą metalową</w:t>
            </w:r>
            <w:r w:rsidR="00B22AE1">
              <w:rPr>
                <w:rFonts w:ascii="Times New Roman" w:eastAsia="Calibri" w:hAnsi="Times New Roman" w:cs="Times New Roman"/>
                <w:bCs/>
                <w:lang w:eastAsia="pl-PL"/>
              </w:rPr>
              <w:t>. Na podstawie wyszukiwania stanu finansowania zabiegu wszczepienia stentów moczowodowych i stentów cewkowych w innych krajach o zbliżonym do PKB per capita dla Polski (Estonia, Węgry, Łotwa, Litwa, Chorwacja). Zabieg jest najprawdopodobniej rozliczany w ramach Diagnosis-related group.</w:t>
            </w:r>
          </w:p>
          <w:p w14:paraId="7A236DFB" w14:textId="77777777" w:rsidR="00B22AE1" w:rsidRPr="0010032A" w:rsidRDefault="005A0888" w:rsidP="00B22AE1">
            <w:pPr>
              <w:suppressAutoHyphens/>
              <w:autoSpaceDE w:val="0"/>
              <w:autoSpaceDN w:val="0"/>
              <w:adjustRightInd w:val="0"/>
              <w:spacing w:before="120" w:after="120" w:line="240" w:lineRule="auto"/>
              <w:jc w:val="both"/>
              <w:rPr>
                <w:rFonts w:ascii="Times New Roman" w:eastAsia="Calibri" w:hAnsi="Times New Roman" w:cs="Times New Roman"/>
                <w:bCs/>
                <w:lang w:eastAsia="pl-PL"/>
              </w:rPr>
            </w:pPr>
            <w:r>
              <w:rPr>
                <w:rFonts w:ascii="Times New Roman" w:eastAsia="Calibri" w:hAnsi="Times New Roman" w:cs="Times New Roman"/>
                <w:bCs/>
                <w:lang w:eastAsia="pl-PL"/>
              </w:rPr>
              <w:t>N</w:t>
            </w:r>
            <w:r w:rsidR="00B22AE1" w:rsidRPr="0010032A">
              <w:rPr>
                <w:rFonts w:ascii="Times New Roman" w:eastAsia="Calibri" w:hAnsi="Times New Roman" w:cs="Times New Roman"/>
                <w:bCs/>
                <w:lang w:eastAsia="pl-PL"/>
              </w:rPr>
              <w:t>euromodulacja krzyżowa</w:t>
            </w:r>
            <w:r>
              <w:rPr>
                <w:rFonts w:ascii="Times New Roman" w:eastAsia="Calibri" w:hAnsi="Times New Roman" w:cs="Times New Roman"/>
                <w:bCs/>
                <w:lang w:eastAsia="pl-PL"/>
              </w:rPr>
              <w:t>.</w:t>
            </w:r>
            <w:r w:rsidR="00917532">
              <w:rPr>
                <w:rFonts w:ascii="Times New Roman" w:eastAsia="Calibri" w:hAnsi="Times New Roman" w:cs="Times New Roman"/>
                <w:bCs/>
                <w:lang w:eastAsia="pl-PL"/>
              </w:rPr>
              <w:t xml:space="preserve"> Odnaleziono 5 rekomendacji dotyczących finansowania neuromodulacji krzyżowej. Cztery rekomendacje były pozytywne, przy czym rekomendacje National Institute for Health and Clinical Excellence, przy czym rekomendacje NICE, z których najnowsza została opublikowana w 2013 r., dotyczą leczenia idiopatycznego pęcherza nadreaktywnego, zaś rekomendacja francuska Haute Autorite de Sante z 2010 roku dotyczy leczenia zaburzeń mikcji po niepowodzeniu leczenia standardowego. Piąta rekomenadacja australijskiego Medical Services Advisory Committee z 2008 r. była pozytywna dla neuromodulacji krzyżowej w leczeniu nadczynności wypieracza oraz w zaleganiu moczu bez przeszkody podpęcherzowej u dorosłych, którzy nie reagują na standardowe leczenie. MSCQA wydał natomiast negatywną rekomendację dla wskazania zespół bolesnej miednicy/pęcherza. Zgodnie z deklaracjami producentów wyrobów medycznych, świadczenie jest finansowane ze środków publicznych w następujących krajach: Austria, Dania, Finlandia, Hiszpania, Holandia, Norwegia, Szwecja, Wielka Brytania, Irlandia (budżet szpitalny); Belgia, Szwajcaria (ubezpieczenia); Francja (wykaz refundowanych wyrobów medycznych); Niemcy, Włochy (Diagnosis-Related Group).</w:t>
            </w:r>
          </w:p>
          <w:p w14:paraId="3C3F4153" w14:textId="77777777" w:rsidR="00B22AE1" w:rsidRPr="0010032A" w:rsidRDefault="005A0888" w:rsidP="00B22AE1">
            <w:pPr>
              <w:suppressAutoHyphens/>
              <w:autoSpaceDE w:val="0"/>
              <w:autoSpaceDN w:val="0"/>
              <w:adjustRightInd w:val="0"/>
              <w:spacing w:before="120" w:after="120" w:line="240" w:lineRule="auto"/>
              <w:jc w:val="both"/>
              <w:rPr>
                <w:rFonts w:ascii="Times New Roman" w:eastAsia="Calibri" w:hAnsi="Times New Roman" w:cs="Times New Roman"/>
                <w:bCs/>
                <w:lang w:eastAsia="pl-PL"/>
              </w:rPr>
            </w:pPr>
            <w:r>
              <w:rPr>
                <w:rFonts w:ascii="Times New Roman" w:eastAsia="Calibri" w:hAnsi="Times New Roman" w:cs="Times New Roman"/>
                <w:bCs/>
                <w:lang w:eastAsia="pl-PL"/>
              </w:rPr>
              <w:t>L</w:t>
            </w:r>
            <w:r w:rsidR="00B22AE1" w:rsidRPr="0010032A">
              <w:rPr>
                <w:rFonts w:ascii="Times New Roman" w:eastAsia="Calibri" w:hAnsi="Times New Roman" w:cs="Times New Roman"/>
                <w:bCs/>
                <w:lang w:eastAsia="pl-PL"/>
              </w:rPr>
              <w:t>eczenie chirurgiczne z zastosowaniem systemu robotowego</w:t>
            </w:r>
            <w:r w:rsidR="00B22AE1">
              <w:rPr>
                <w:rFonts w:ascii="Times New Roman" w:eastAsia="Calibri" w:hAnsi="Times New Roman" w:cs="Times New Roman"/>
                <w:bCs/>
                <w:lang w:eastAsia="pl-PL"/>
              </w:rPr>
              <w:t xml:space="preserve">. Zgodnie z uzyskanymi </w:t>
            </w:r>
            <w:r w:rsidR="00755452">
              <w:rPr>
                <w:rFonts w:ascii="Times New Roman" w:eastAsia="Calibri" w:hAnsi="Times New Roman" w:cs="Times New Roman"/>
                <w:bCs/>
                <w:lang w:eastAsia="pl-PL"/>
              </w:rPr>
              <w:t>danymi, leczenie chirurgiczne z </w:t>
            </w:r>
            <w:r w:rsidR="00B22AE1">
              <w:rPr>
                <w:rFonts w:ascii="Times New Roman" w:eastAsia="Calibri" w:hAnsi="Times New Roman" w:cs="Times New Roman"/>
                <w:bCs/>
                <w:lang w:eastAsia="pl-PL"/>
              </w:rPr>
              <w:t xml:space="preserve">zastosowaniem </w:t>
            </w:r>
            <w:r w:rsidR="00755452">
              <w:rPr>
                <w:rFonts w:ascii="Times New Roman" w:eastAsia="Calibri" w:hAnsi="Times New Roman" w:cs="Times New Roman"/>
                <w:bCs/>
                <w:lang w:eastAsia="pl-PL"/>
              </w:rPr>
              <w:t>systemu robotowego jest aktualnie objęte finansowaniem w 7 krajach, w tym we wskazaniach urologicznych – w 6 krajach, we wskazaniach ginekologicznych – w 3 krajach, w chirurgii ogólnej – w 2 krajach oraz ogólnie w onkologii – w Słowacji (zakontraktowano 250 zabiegów we wskazaniach onkologicznych bez ograniczeń co do rodzaju, system nie jest finansowany w ramach świadczeń gwarantowanych, lecz w osobnej kontraktacji). Systemy robotowe są dostępne w Grecji (10 systemów), oraz w Portugalii (1 system), bez dedykowanego finansowania. Pełna refundacja systemu robotowego w chirurgii ogólnej jest w Słowacji, Wielkiej Brytanii, Danii, do wysokości kosztów laparoskopii we Francji, Włoszech, Niemczech, Belgii, Szwajcarii, Szwecji, Holandii i Norwegii.</w:t>
            </w:r>
          </w:p>
          <w:p w14:paraId="61B9F2D4" w14:textId="77777777" w:rsidR="00B22AE1" w:rsidRPr="005A0888" w:rsidRDefault="005A0888" w:rsidP="00B22AE1">
            <w:pPr>
              <w:suppressAutoHyphens/>
              <w:autoSpaceDE w:val="0"/>
              <w:autoSpaceDN w:val="0"/>
              <w:adjustRightInd w:val="0"/>
              <w:spacing w:before="120" w:after="120" w:line="240" w:lineRule="auto"/>
              <w:jc w:val="both"/>
              <w:rPr>
                <w:rFonts w:ascii="Times New Roman" w:eastAsia="Calibri" w:hAnsi="Times New Roman" w:cs="Times New Roman"/>
                <w:bCs/>
                <w:lang w:eastAsia="pl-PL"/>
              </w:rPr>
            </w:pPr>
            <w:r w:rsidRPr="004C257A">
              <w:rPr>
                <w:rFonts w:ascii="Times New Roman" w:eastAsia="Calibri" w:hAnsi="Times New Roman" w:cs="Times New Roman"/>
                <w:bCs/>
                <w:lang w:val="en-GB" w:eastAsia="pl-PL"/>
              </w:rPr>
              <w:t>C</w:t>
            </w:r>
            <w:r w:rsidR="00B22AE1" w:rsidRPr="004C257A">
              <w:rPr>
                <w:rFonts w:ascii="Times New Roman" w:eastAsia="Calibri" w:hAnsi="Times New Roman" w:cs="Times New Roman"/>
                <w:bCs/>
                <w:lang w:val="en-GB" w:eastAsia="pl-PL"/>
              </w:rPr>
              <w:t>hirurgiczne leczenie otyłości</w:t>
            </w:r>
            <w:r w:rsidRPr="004C257A">
              <w:rPr>
                <w:rFonts w:ascii="Times New Roman" w:eastAsia="Calibri" w:hAnsi="Times New Roman" w:cs="Times New Roman"/>
                <w:bCs/>
                <w:lang w:val="en-GB" w:eastAsia="pl-PL"/>
              </w:rPr>
              <w:t>. Odnaleziono 6 dokumentów wytycznych klinicznych (National Institute for Health and Clinical Excellence z 2014 i 2016 roku, Scottish Intercollegiate Guid</w:t>
            </w:r>
            <w:r w:rsidR="00594879" w:rsidRPr="004C257A">
              <w:rPr>
                <w:rFonts w:ascii="Times New Roman" w:eastAsia="Calibri" w:hAnsi="Times New Roman" w:cs="Times New Roman"/>
                <w:bCs/>
                <w:lang w:val="en-GB" w:eastAsia="pl-PL"/>
              </w:rPr>
              <w:t>elines Network z 2010 roku, Haute Autorite de Sant</w:t>
            </w:r>
            <w:r w:rsidR="00154D11" w:rsidRPr="004C257A">
              <w:rPr>
                <w:rFonts w:ascii="Times New Roman" w:eastAsia="Calibri" w:hAnsi="Times New Roman" w:cs="Times New Roman"/>
                <w:bCs/>
                <w:lang w:val="en-GB" w:eastAsia="pl-PL"/>
              </w:rPr>
              <w:t>e z </w:t>
            </w:r>
            <w:r w:rsidRPr="004C257A">
              <w:rPr>
                <w:rFonts w:ascii="Times New Roman" w:eastAsia="Calibri" w:hAnsi="Times New Roman" w:cs="Times New Roman"/>
                <w:bCs/>
                <w:lang w:val="en-GB" w:eastAsia="pl-PL"/>
              </w:rPr>
              <w:t>2009</w:t>
            </w:r>
            <w:r w:rsidR="00154D11" w:rsidRPr="004C257A">
              <w:rPr>
                <w:rFonts w:ascii="Times New Roman" w:eastAsia="Calibri" w:hAnsi="Times New Roman" w:cs="Times New Roman"/>
                <w:bCs/>
                <w:lang w:val="en-GB" w:eastAsia="pl-PL"/>
              </w:rPr>
              <w:t xml:space="preserve"> roku</w:t>
            </w:r>
            <w:r w:rsidRPr="004C257A">
              <w:rPr>
                <w:rFonts w:ascii="Times New Roman" w:eastAsia="Calibri" w:hAnsi="Times New Roman" w:cs="Times New Roman"/>
                <w:bCs/>
                <w:lang w:val="en-GB" w:eastAsia="pl-PL"/>
              </w:rPr>
              <w:t xml:space="preserve">, American Association of Clinical Endocrinologists, The obesity Society, American Society for Metabolic and Bariatric Surgery z 2013 roku, National Health and Medical Research Council z 2013 roku. </w:t>
            </w:r>
            <w:r>
              <w:rPr>
                <w:rFonts w:ascii="Times New Roman" w:eastAsia="Calibri" w:hAnsi="Times New Roman" w:cs="Times New Roman"/>
                <w:bCs/>
                <w:lang w:eastAsia="pl-PL"/>
              </w:rPr>
              <w:t>We wszystkich odnalezionych wytycznych operacje bariatryczne wskazywane są jako jedna z opcji leczenia otyłości. Również we wszystkich wytycznych podstawowym kryterium kwalifikacji pacjentów do przeprowadzenia zabiegu jest wskaźnik masy ciała. Większość wytycznych wskazuje, że do operacji bariatrycznych można kierować pacjentów, których BMI ≥ 40 kg/m</w:t>
            </w:r>
            <w:r>
              <w:rPr>
                <w:rFonts w:ascii="Times New Roman" w:eastAsia="Calibri" w:hAnsi="Times New Roman" w:cs="Times New Roman"/>
                <w:bCs/>
                <w:vertAlign w:val="superscript"/>
                <w:lang w:eastAsia="pl-PL"/>
              </w:rPr>
              <w:t>2</w:t>
            </w:r>
            <w:r>
              <w:rPr>
                <w:rFonts w:ascii="Times New Roman" w:eastAsia="Calibri" w:hAnsi="Times New Roman" w:cs="Times New Roman"/>
                <w:bCs/>
                <w:lang w:eastAsia="pl-PL"/>
              </w:rPr>
              <w:t>. Natomiast w standardach NICE wskazano, że chirurgiczne leczenie otyłości stanowi główną opcję terapeutyczną dla pacjentów z BMI ≥ 50 kg/m</w:t>
            </w:r>
            <w:r>
              <w:rPr>
                <w:rFonts w:ascii="Times New Roman" w:eastAsia="Calibri" w:hAnsi="Times New Roman" w:cs="Times New Roman"/>
                <w:bCs/>
                <w:vertAlign w:val="superscript"/>
                <w:lang w:eastAsia="pl-PL"/>
              </w:rPr>
              <w:t>2</w:t>
            </w:r>
            <w:r>
              <w:rPr>
                <w:rFonts w:ascii="Times New Roman" w:eastAsia="Calibri" w:hAnsi="Times New Roman" w:cs="Times New Roman"/>
                <w:bCs/>
                <w:lang w:eastAsia="pl-PL"/>
              </w:rPr>
              <w:t xml:space="preserve">. Ponadto, w wytycznych wskazano, że rekomendowaną </w:t>
            </w:r>
            <w:r w:rsidR="00594879">
              <w:rPr>
                <w:rFonts w:ascii="Times New Roman" w:eastAsia="Calibri" w:hAnsi="Times New Roman" w:cs="Times New Roman"/>
                <w:bCs/>
                <w:lang w:eastAsia="pl-PL"/>
              </w:rPr>
              <w:t>metodą</w:t>
            </w:r>
            <w:r>
              <w:rPr>
                <w:rFonts w:ascii="Times New Roman" w:eastAsia="Calibri" w:hAnsi="Times New Roman" w:cs="Times New Roman"/>
                <w:bCs/>
                <w:lang w:eastAsia="pl-PL"/>
              </w:rPr>
              <w:t xml:space="preserve"> </w:t>
            </w:r>
            <w:r w:rsidR="00594879">
              <w:rPr>
                <w:rFonts w:ascii="Times New Roman" w:eastAsia="Calibri" w:hAnsi="Times New Roman" w:cs="Times New Roman"/>
                <w:bCs/>
                <w:lang w:eastAsia="pl-PL"/>
              </w:rPr>
              <w:t>przeprowadzania</w:t>
            </w:r>
            <w:r>
              <w:rPr>
                <w:rFonts w:ascii="Times New Roman" w:eastAsia="Calibri" w:hAnsi="Times New Roman" w:cs="Times New Roman"/>
                <w:bCs/>
                <w:lang w:eastAsia="pl-PL"/>
              </w:rPr>
              <w:t xml:space="preserve"> zabiegów bariatrycznych jest metoda laparoskopowa jako bezpieczniejsza niż operacje otwarte oraz podkreślono fakt braku wystarczających dowodów pozwalających na rekomendowanie jednego rodzaju operacji bariatrycznych u osób otyłych.</w:t>
            </w:r>
          </w:p>
          <w:p w14:paraId="35A59B83" w14:textId="77777777" w:rsidR="007B1E52" w:rsidRPr="00442C01" w:rsidRDefault="005A0888" w:rsidP="00154D11">
            <w:pPr>
              <w:tabs>
                <w:tab w:val="left" w:pos="851"/>
              </w:tabs>
              <w:spacing w:before="120" w:after="120" w:line="240" w:lineRule="auto"/>
              <w:jc w:val="both"/>
              <w:rPr>
                <w:rFonts w:ascii="Times New Roman" w:eastAsia="Calibri" w:hAnsi="Times New Roman" w:cs="Times New Roman"/>
              </w:rPr>
            </w:pPr>
            <w:r>
              <w:rPr>
                <w:rFonts w:ascii="Times New Roman" w:eastAsia="Calibri" w:hAnsi="Times New Roman" w:cs="Times New Roman"/>
                <w:bCs/>
                <w:lang w:eastAsia="pl-PL"/>
              </w:rPr>
              <w:t>M</w:t>
            </w:r>
            <w:r w:rsidR="00B22AE1" w:rsidRPr="0010032A">
              <w:rPr>
                <w:rFonts w:ascii="Times New Roman" w:eastAsia="Calibri" w:hAnsi="Times New Roman" w:cs="Times New Roman"/>
                <w:bCs/>
                <w:lang w:eastAsia="pl-PL"/>
              </w:rPr>
              <w:t>echaniczne udrażnianie tętnic mózgowych z podaniem leku fibrynolitycznego w ost</w:t>
            </w:r>
            <w:r w:rsidR="00B22AE1">
              <w:rPr>
                <w:rFonts w:ascii="Times New Roman" w:eastAsia="Calibri" w:hAnsi="Times New Roman" w:cs="Times New Roman"/>
                <w:bCs/>
                <w:lang w:eastAsia="pl-PL"/>
              </w:rPr>
              <w:t>rej fazie udaru niedokrwiennego.</w:t>
            </w:r>
            <w:r w:rsidR="00917532">
              <w:rPr>
                <w:rFonts w:ascii="Times New Roman" w:eastAsia="Calibri" w:hAnsi="Times New Roman" w:cs="Times New Roman"/>
                <w:bCs/>
                <w:lang w:eastAsia="pl-PL"/>
              </w:rPr>
              <w:t xml:space="preserve"> Odnaleziono dwa stanowiska zagranicznych agencji, dotyczących finansowania interwencji wykorzystywanych w terapii ostrej fazy udary niedokrwiennego. Wytyczne National Institute for Health and Clinical Excellence</w:t>
            </w:r>
            <w:r w:rsidR="00154D11">
              <w:rPr>
                <w:rFonts w:ascii="Times New Roman" w:eastAsia="Calibri" w:hAnsi="Times New Roman" w:cs="Times New Roman"/>
                <w:bCs/>
                <w:lang w:eastAsia="pl-PL"/>
              </w:rPr>
              <w:t xml:space="preserve"> z 2016 roku</w:t>
            </w:r>
            <w:r w:rsidR="00917532">
              <w:rPr>
                <w:rFonts w:ascii="Times New Roman" w:eastAsia="Calibri" w:hAnsi="Times New Roman" w:cs="Times New Roman"/>
                <w:bCs/>
                <w:lang w:eastAsia="pl-PL"/>
              </w:rPr>
              <w:t>, w których wskazano, że dowody skuteczności i bezpieczeństwa mechanicznego usuwania skrzepliny u pacjentów w ostrej fazie udaru mózgu, przemawiają na korzyść stosowania tej procedury. Agencja nie wskazuje konkretnego rodzaju urządzenia, które ma być stosowane – jedynie zwraca uwagę na niepewności dotyczące wyboru najlepszego urządzenia oraz na efektywność procedury w zależności od umiejscowienia zatoru (głównie w kontekście krążenia przedniego i tylnego). Rekomendacja Canadian Agency for Drugs and Technologies in Health z 2015 r</w:t>
            </w:r>
            <w:r w:rsidR="00154D11">
              <w:rPr>
                <w:rFonts w:ascii="Times New Roman" w:eastAsia="Calibri" w:hAnsi="Times New Roman" w:cs="Times New Roman"/>
                <w:bCs/>
                <w:lang w:eastAsia="pl-PL"/>
              </w:rPr>
              <w:t>oku</w:t>
            </w:r>
            <w:r w:rsidR="00917532">
              <w:rPr>
                <w:rFonts w:ascii="Times New Roman" w:eastAsia="Calibri" w:hAnsi="Times New Roman" w:cs="Times New Roman"/>
                <w:bCs/>
                <w:lang w:eastAsia="pl-PL"/>
              </w:rPr>
              <w:t>, w której wskazano</w:t>
            </w:r>
            <w:r w:rsidR="00154D11">
              <w:rPr>
                <w:rFonts w:ascii="Times New Roman" w:eastAsia="Calibri" w:hAnsi="Times New Roman" w:cs="Times New Roman"/>
                <w:bCs/>
                <w:lang w:eastAsia="pl-PL"/>
              </w:rPr>
              <w:t>, że leczenie wewnątrznaczyniowe w połączeniu z dożylną trombolizą jest efektywne kosztowo w porównaniu z samą trombolizą u wybranych pacjentów w ostrej fazie udaru niedokrwiennego, u których zator umiejscowiony jest w dużym naczyniu lub u których dożylna tromboliza jest przeciwwskazana.</w:t>
            </w:r>
          </w:p>
        </w:tc>
      </w:tr>
      <w:tr w:rsidR="007B1E52" w:rsidRPr="00442C01" w14:paraId="7B0F025D" w14:textId="77777777" w:rsidTr="00B17DC3">
        <w:trPr>
          <w:gridAfter w:val="1"/>
          <w:wAfter w:w="10" w:type="dxa"/>
          <w:trHeight w:val="359"/>
        </w:trPr>
        <w:tc>
          <w:tcPr>
            <w:tcW w:w="10937" w:type="dxa"/>
            <w:gridSpan w:val="29"/>
            <w:shd w:val="clear" w:color="auto" w:fill="99CCFF"/>
            <w:vAlign w:val="center"/>
          </w:tcPr>
          <w:p w14:paraId="4FB8AE99" w14:textId="77777777" w:rsidR="007B1E52" w:rsidRPr="00442C01" w:rsidRDefault="007B1E52" w:rsidP="00C761E8">
            <w:pPr>
              <w:numPr>
                <w:ilvl w:val="0"/>
                <w:numId w:val="1"/>
              </w:numPr>
              <w:spacing w:before="120" w:after="120" w:line="240" w:lineRule="auto"/>
              <w:ind w:left="318" w:hanging="284"/>
              <w:jc w:val="both"/>
              <w:rPr>
                <w:rFonts w:ascii="Times New Roman" w:eastAsia="Calibri" w:hAnsi="Times New Roman" w:cs="Times New Roman"/>
                <w:b/>
                <w:color w:val="000000"/>
              </w:rPr>
            </w:pPr>
            <w:r w:rsidRPr="00442C01">
              <w:rPr>
                <w:rFonts w:ascii="Times New Roman" w:eastAsia="Calibri" w:hAnsi="Times New Roman" w:cs="Times New Roman"/>
                <w:b/>
                <w:color w:val="000000"/>
              </w:rPr>
              <w:t>Podmioty, na które oddziałuje projekt</w:t>
            </w:r>
          </w:p>
        </w:tc>
      </w:tr>
      <w:tr w:rsidR="007B1E52" w:rsidRPr="00442C01" w14:paraId="221D21D1" w14:textId="77777777" w:rsidTr="00B17DC3">
        <w:trPr>
          <w:gridAfter w:val="1"/>
          <w:wAfter w:w="10" w:type="dxa"/>
          <w:trHeight w:val="142"/>
        </w:trPr>
        <w:tc>
          <w:tcPr>
            <w:tcW w:w="2668" w:type="dxa"/>
            <w:gridSpan w:val="4"/>
            <w:shd w:val="clear" w:color="auto" w:fill="auto"/>
          </w:tcPr>
          <w:p w14:paraId="09DAA160" w14:textId="77777777" w:rsidR="007B1E52" w:rsidRPr="00442C01" w:rsidRDefault="007B1E52" w:rsidP="00C761E8">
            <w:pPr>
              <w:spacing w:before="120" w:after="120" w:line="240" w:lineRule="auto"/>
              <w:jc w:val="center"/>
              <w:rPr>
                <w:rFonts w:ascii="Times New Roman" w:eastAsia="Calibri" w:hAnsi="Times New Roman" w:cs="Times New Roman"/>
                <w:color w:val="000000"/>
                <w:spacing w:val="-2"/>
              </w:rPr>
            </w:pPr>
            <w:r w:rsidRPr="00442C01">
              <w:rPr>
                <w:rFonts w:ascii="Times New Roman" w:eastAsia="Calibri" w:hAnsi="Times New Roman" w:cs="Times New Roman"/>
                <w:color w:val="000000"/>
                <w:spacing w:val="-2"/>
              </w:rPr>
              <w:t>Grupa</w:t>
            </w:r>
          </w:p>
        </w:tc>
        <w:tc>
          <w:tcPr>
            <w:tcW w:w="2292" w:type="dxa"/>
            <w:gridSpan w:val="7"/>
            <w:shd w:val="clear" w:color="auto" w:fill="auto"/>
          </w:tcPr>
          <w:p w14:paraId="236D8F75" w14:textId="77777777" w:rsidR="007B1E52" w:rsidRPr="00442C01" w:rsidRDefault="007B1E52" w:rsidP="00C761E8">
            <w:pPr>
              <w:spacing w:before="120" w:after="120" w:line="240" w:lineRule="auto"/>
              <w:jc w:val="center"/>
              <w:rPr>
                <w:rFonts w:ascii="Times New Roman" w:eastAsia="Calibri" w:hAnsi="Times New Roman" w:cs="Times New Roman"/>
                <w:color w:val="000000"/>
                <w:spacing w:val="-2"/>
              </w:rPr>
            </w:pPr>
            <w:r w:rsidRPr="00442C01">
              <w:rPr>
                <w:rFonts w:ascii="Times New Roman" w:eastAsia="Calibri" w:hAnsi="Times New Roman" w:cs="Times New Roman"/>
                <w:color w:val="000000"/>
                <w:spacing w:val="-2"/>
              </w:rPr>
              <w:t>Wielkość</w:t>
            </w:r>
          </w:p>
        </w:tc>
        <w:tc>
          <w:tcPr>
            <w:tcW w:w="2554" w:type="dxa"/>
            <w:gridSpan w:val="10"/>
            <w:shd w:val="clear" w:color="auto" w:fill="auto"/>
          </w:tcPr>
          <w:p w14:paraId="3D253C18" w14:textId="77777777" w:rsidR="007B1E52" w:rsidRPr="00442C01" w:rsidRDefault="007B1E52" w:rsidP="00C761E8">
            <w:pPr>
              <w:spacing w:before="120" w:after="120" w:line="240" w:lineRule="auto"/>
              <w:jc w:val="center"/>
              <w:rPr>
                <w:rFonts w:ascii="Times New Roman" w:eastAsia="Calibri" w:hAnsi="Times New Roman" w:cs="Times New Roman"/>
                <w:color w:val="000000"/>
                <w:spacing w:val="-2"/>
              </w:rPr>
            </w:pPr>
            <w:r w:rsidRPr="00442C01">
              <w:rPr>
                <w:rFonts w:ascii="Times New Roman" w:eastAsia="Calibri" w:hAnsi="Times New Roman" w:cs="Times New Roman"/>
                <w:color w:val="000000"/>
                <w:spacing w:val="-2"/>
              </w:rPr>
              <w:t>Źródło danych</w:t>
            </w:r>
            <w:r w:rsidRPr="00442C01" w:rsidDel="00260F33">
              <w:rPr>
                <w:rFonts w:ascii="Times New Roman" w:eastAsia="Calibri" w:hAnsi="Times New Roman" w:cs="Times New Roman"/>
                <w:color w:val="000000"/>
                <w:spacing w:val="-2"/>
              </w:rPr>
              <w:t xml:space="preserve"> </w:t>
            </w:r>
          </w:p>
        </w:tc>
        <w:tc>
          <w:tcPr>
            <w:tcW w:w="3423" w:type="dxa"/>
            <w:gridSpan w:val="8"/>
            <w:shd w:val="clear" w:color="auto" w:fill="auto"/>
          </w:tcPr>
          <w:p w14:paraId="587F2E39" w14:textId="77777777" w:rsidR="007B1E52" w:rsidRPr="00442C01" w:rsidRDefault="007B1E52" w:rsidP="00C761E8">
            <w:pPr>
              <w:spacing w:before="120" w:after="120" w:line="240" w:lineRule="auto"/>
              <w:jc w:val="center"/>
              <w:rPr>
                <w:rFonts w:ascii="Times New Roman" w:eastAsia="Calibri" w:hAnsi="Times New Roman" w:cs="Times New Roman"/>
                <w:color w:val="000000"/>
                <w:spacing w:val="-2"/>
              </w:rPr>
            </w:pPr>
            <w:r w:rsidRPr="00442C01">
              <w:rPr>
                <w:rFonts w:ascii="Times New Roman" w:eastAsia="Calibri" w:hAnsi="Times New Roman" w:cs="Times New Roman"/>
                <w:color w:val="000000"/>
                <w:spacing w:val="-2"/>
              </w:rPr>
              <w:t>Oddziaływanie</w:t>
            </w:r>
          </w:p>
        </w:tc>
      </w:tr>
      <w:tr w:rsidR="00AA4C62" w:rsidRPr="00442C01" w14:paraId="57B6927C" w14:textId="77777777" w:rsidTr="00B17DC3">
        <w:trPr>
          <w:gridAfter w:val="1"/>
          <w:wAfter w:w="10" w:type="dxa"/>
          <w:trHeight w:val="833"/>
        </w:trPr>
        <w:tc>
          <w:tcPr>
            <w:tcW w:w="2668" w:type="dxa"/>
            <w:gridSpan w:val="4"/>
            <w:shd w:val="clear" w:color="auto" w:fill="auto"/>
            <w:vAlign w:val="center"/>
          </w:tcPr>
          <w:p w14:paraId="52A711FC" w14:textId="77777777" w:rsidR="00AA4C62" w:rsidRPr="00442C01" w:rsidRDefault="00AA4C62" w:rsidP="00C761E8">
            <w:pPr>
              <w:spacing w:before="120" w:after="120" w:line="240" w:lineRule="auto"/>
              <w:jc w:val="center"/>
              <w:rPr>
                <w:rFonts w:ascii="Times New Roman" w:eastAsia="Calibri" w:hAnsi="Times New Roman" w:cs="Times New Roman"/>
                <w:color w:val="000000"/>
                <w:spacing w:val="-2"/>
              </w:rPr>
            </w:pPr>
            <w:r w:rsidRPr="00442C01">
              <w:rPr>
                <w:rFonts w:ascii="Times New Roman" w:eastAsia="Calibri" w:hAnsi="Times New Roman" w:cs="Times New Roman"/>
                <w:color w:val="000000"/>
                <w:spacing w:val="-2"/>
              </w:rPr>
              <w:lastRenderedPageBreak/>
              <w:t>Świadczeniobiorcy</w:t>
            </w:r>
          </w:p>
        </w:tc>
        <w:tc>
          <w:tcPr>
            <w:tcW w:w="2292" w:type="dxa"/>
            <w:gridSpan w:val="7"/>
            <w:shd w:val="clear" w:color="auto" w:fill="auto"/>
            <w:vAlign w:val="center"/>
          </w:tcPr>
          <w:p w14:paraId="6E69E030" w14:textId="77777777" w:rsidR="00AA4C62" w:rsidRPr="00442C01" w:rsidRDefault="00305214" w:rsidP="00C761E8">
            <w:pPr>
              <w:autoSpaceDE w:val="0"/>
              <w:autoSpaceDN w:val="0"/>
              <w:adjustRightInd w:val="0"/>
              <w:spacing w:before="120" w:after="12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ok. 7 530</w:t>
            </w:r>
          </w:p>
        </w:tc>
        <w:tc>
          <w:tcPr>
            <w:tcW w:w="2554" w:type="dxa"/>
            <w:gridSpan w:val="10"/>
            <w:shd w:val="clear" w:color="auto" w:fill="auto"/>
            <w:vAlign w:val="center"/>
          </w:tcPr>
          <w:p w14:paraId="6ECA8400" w14:textId="77777777" w:rsidR="00AA4C62" w:rsidRPr="00442C01" w:rsidRDefault="00305214" w:rsidP="00C761E8">
            <w:pPr>
              <w:spacing w:before="120" w:after="120" w:line="240" w:lineRule="auto"/>
              <w:jc w:val="center"/>
              <w:rPr>
                <w:rFonts w:ascii="Times New Roman" w:eastAsia="Calibri" w:hAnsi="Times New Roman" w:cs="Times New Roman"/>
                <w:color w:val="000000"/>
                <w:spacing w:val="-2"/>
              </w:rPr>
            </w:pPr>
            <w:r>
              <w:rPr>
                <w:rFonts w:ascii="Times New Roman" w:eastAsia="Calibri" w:hAnsi="Times New Roman" w:cs="Times New Roman"/>
                <w:color w:val="000000"/>
                <w:spacing w:val="-2"/>
              </w:rPr>
              <w:t>Agencja Oceny Technologii Med</w:t>
            </w:r>
            <w:r w:rsidR="00B17DC3">
              <w:rPr>
                <w:rFonts w:ascii="Times New Roman" w:eastAsia="Calibri" w:hAnsi="Times New Roman" w:cs="Times New Roman"/>
                <w:color w:val="000000"/>
                <w:spacing w:val="-2"/>
              </w:rPr>
              <w:t>ycznych i </w:t>
            </w:r>
            <w:r>
              <w:rPr>
                <w:rFonts w:ascii="Times New Roman" w:eastAsia="Calibri" w:hAnsi="Times New Roman" w:cs="Times New Roman"/>
                <w:color w:val="000000"/>
                <w:spacing w:val="-2"/>
              </w:rPr>
              <w:t>Taryfikacji</w:t>
            </w:r>
          </w:p>
        </w:tc>
        <w:tc>
          <w:tcPr>
            <w:tcW w:w="3423" w:type="dxa"/>
            <w:gridSpan w:val="8"/>
            <w:shd w:val="clear" w:color="auto" w:fill="auto"/>
            <w:vAlign w:val="center"/>
          </w:tcPr>
          <w:p w14:paraId="6A36E9DC" w14:textId="77777777" w:rsidR="00AA4C62" w:rsidRPr="00442C01" w:rsidRDefault="00B17DC3" w:rsidP="00B17DC3">
            <w:pPr>
              <w:spacing w:before="120" w:after="120" w:line="240" w:lineRule="auto"/>
              <w:contextualSpacing/>
              <w:jc w:val="center"/>
              <w:rPr>
                <w:rFonts w:ascii="Times New Roman" w:eastAsia="Calibri" w:hAnsi="Times New Roman" w:cs="Times New Roman"/>
              </w:rPr>
            </w:pPr>
            <w:r>
              <w:rPr>
                <w:rFonts w:ascii="Times New Roman" w:eastAsia="Times New Roman" w:hAnsi="Times New Roman" w:cs="Times New Roman"/>
                <w:lang w:eastAsia="pl-PL"/>
              </w:rPr>
              <w:t>Zwiększenie dostępu do metod terapeutycznych</w:t>
            </w:r>
            <w:r>
              <w:rPr>
                <w:rFonts w:ascii="Times New Roman" w:eastAsia="Calibri" w:hAnsi="Times New Roman" w:cs="Times New Roman"/>
              </w:rPr>
              <w:t xml:space="preserve"> i poprawa leczenia pacjentów ze schorzeniami nowotworowymi, układu krążenia, układu moczowo-płciowego, u pacjentów z otyłością, czy chorobami narządu wzroku, </w:t>
            </w:r>
          </w:p>
        </w:tc>
      </w:tr>
      <w:tr w:rsidR="00B17DC3" w:rsidRPr="00442C01" w14:paraId="6FD5CEEA" w14:textId="77777777" w:rsidTr="00B17DC3">
        <w:trPr>
          <w:gridAfter w:val="1"/>
          <w:wAfter w:w="10" w:type="dxa"/>
          <w:trHeight w:val="833"/>
        </w:trPr>
        <w:tc>
          <w:tcPr>
            <w:tcW w:w="2668" w:type="dxa"/>
            <w:gridSpan w:val="4"/>
            <w:shd w:val="clear" w:color="auto" w:fill="auto"/>
            <w:vAlign w:val="center"/>
          </w:tcPr>
          <w:p w14:paraId="121E78AA" w14:textId="77777777" w:rsidR="00B17DC3" w:rsidRPr="00442C01" w:rsidRDefault="00B17DC3" w:rsidP="00B17DC3">
            <w:pPr>
              <w:spacing w:before="120" w:after="120" w:line="240" w:lineRule="auto"/>
              <w:jc w:val="center"/>
              <w:rPr>
                <w:rFonts w:ascii="Times New Roman" w:eastAsia="Calibri" w:hAnsi="Times New Roman" w:cs="Times New Roman"/>
                <w:color w:val="000000"/>
                <w:spacing w:val="-2"/>
              </w:rPr>
            </w:pPr>
            <w:r w:rsidRPr="00442C01">
              <w:rPr>
                <w:rFonts w:ascii="Times New Roman" w:eastAsia="Calibri" w:hAnsi="Times New Roman" w:cs="Times New Roman"/>
                <w:color w:val="000000"/>
                <w:spacing w:val="-2"/>
              </w:rPr>
              <w:t>Świadczeniodawcy</w:t>
            </w:r>
          </w:p>
        </w:tc>
        <w:tc>
          <w:tcPr>
            <w:tcW w:w="2292" w:type="dxa"/>
            <w:gridSpan w:val="7"/>
            <w:shd w:val="clear" w:color="auto" w:fill="auto"/>
            <w:vAlign w:val="center"/>
          </w:tcPr>
          <w:p w14:paraId="3607CE87" w14:textId="77777777" w:rsidR="00B17DC3" w:rsidRPr="00442C01" w:rsidRDefault="00B17DC3" w:rsidP="00B17DC3">
            <w:pPr>
              <w:autoSpaceDE w:val="0"/>
              <w:autoSpaceDN w:val="0"/>
              <w:adjustRightInd w:val="0"/>
              <w:spacing w:before="120" w:after="12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ok. 6 000</w:t>
            </w:r>
          </w:p>
        </w:tc>
        <w:tc>
          <w:tcPr>
            <w:tcW w:w="2554" w:type="dxa"/>
            <w:gridSpan w:val="10"/>
            <w:shd w:val="clear" w:color="auto" w:fill="auto"/>
            <w:vAlign w:val="center"/>
          </w:tcPr>
          <w:p w14:paraId="648AD06E" w14:textId="77777777" w:rsidR="00B17DC3" w:rsidRPr="00442C01" w:rsidRDefault="00B17DC3" w:rsidP="00B17DC3">
            <w:pPr>
              <w:spacing w:before="120" w:after="120" w:line="240" w:lineRule="auto"/>
              <w:jc w:val="center"/>
              <w:rPr>
                <w:rFonts w:ascii="Times New Roman" w:eastAsia="Calibri" w:hAnsi="Times New Roman" w:cs="Times New Roman"/>
                <w:color w:val="000000"/>
                <w:spacing w:val="-2"/>
              </w:rPr>
            </w:pPr>
            <w:r>
              <w:rPr>
                <w:rFonts w:ascii="Times New Roman" w:eastAsia="Calibri" w:hAnsi="Times New Roman" w:cs="Times New Roman"/>
                <w:color w:val="000000"/>
                <w:spacing w:val="-2"/>
              </w:rPr>
              <w:t>Narodowy Fundusz Zdrowia</w:t>
            </w:r>
          </w:p>
        </w:tc>
        <w:tc>
          <w:tcPr>
            <w:tcW w:w="3423" w:type="dxa"/>
            <w:gridSpan w:val="8"/>
            <w:shd w:val="clear" w:color="auto" w:fill="auto"/>
            <w:vAlign w:val="center"/>
          </w:tcPr>
          <w:p w14:paraId="3C6AFF6D" w14:textId="77777777" w:rsidR="00B17DC3" w:rsidRPr="00442C01" w:rsidRDefault="00B17DC3" w:rsidP="00B17DC3">
            <w:pPr>
              <w:suppressAutoHyphens/>
              <w:autoSpaceDE w:val="0"/>
              <w:autoSpaceDN w:val="0"/>
              <w:adjustRightInd w:val="0"/>
              <w:spacing w:before="120" w:after="12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Zwiększenie dostępu do metod terapeutycznych. Zwiększenie </w:t>
            </w:r>
            <w:r>
              <w:rPr>
                <w:rFonts w:ascii="Times New Roman" w:eastAsia="Calibri" w:hAnsi="Times New Roman" w:cs="Times New Roman"/>
              </w:rPr>
              <w:t>kompetencji personelu medycznego w zakresie stosowania nowych metod terapeutycznych.</w:t>
            </w:r>
          </w:p>
        </w:tc>
      </w:tr>
      <w:tr w:rsidR="007B1E52" w:rsidRPr="00442C01" w14:paraId="73B60606" w14:textId="77777777" w:rsidTr="00B17DC3">
        <w:trPr>
          <w:gridAfter w:val="1"/>
          <w:wAfter w:w="10" w:type="dxa"/>
          <w:trHeight w:val="302"/>
        </w:trPr>
        <w:tc>
          <w:tcPr>
            <w:tcW w:w="10937" w:type="dxa"/>
            <w:gridSpan w:val="29"/>
            <w:shd w:val="clear" w:color="auto" w:fill="99CCFF"/>
            <w:vAlign w:val="center"/>
          </w:tcPr>
          <w:p w14:paraId="786FCA6F" w14:textId="77777777" w:rsidR="007B1E52" w:rsidRPr="00442C01" w:rsidRDefault="007B1E52" w:rsidP="00C761E8">
            <w:pPr>
              <w:numPr>
                <w:ilvl w:val="0"/>
                <w:numId w:val="1"/>
              </w:numPr>
              <w:spacing w:before="120" w:after="120" w:line="240" w:lineRule="auto"/>
              <w:ind w:left="318" w:hanging="284"/>
              <w:jc w:val="both"/>
              <w:rPr>
                <w:rFonts w:ascii="Times New Roman" w:eastAsia="Calibri" w:hAnsi="Times New Roman" w:cs="Times New Roman"/>
                <w:b/>
                <w:color w:val="000000"/>
              </w:rPr>
            </w:pPr>
            <w:r w:rsidRPr="00442C01">
              <w:rPr>
                <w:rFonts w:ascii="Times New Roman" w:eastAsia="Calibri" w:hAnsi="Times New Roman" w:cs="Times New Roman"/>
                <w:b/>
                <w:color w:val="000000"/>
              </w:rPr>
              <w:t>Informacje na temat zakresu, czasu trwania i podsumowanie wyników konsultacji</w:t>
            </w:r>
          </w:p>
        </w:tc>
      </w:tr>
      <w:tr w:rsidR="007B1E52" w:rsidRPr="00442C01" w14:paraId="0678BB02" w14:textId="77777777" w:rsidTr="00B17DC3">
        <w:trPr>
          <w:gridAfter w:val="1"/>
          <w:wAfter w:w="10" w:type="dxa"/>
          <w:trHeight w:val="562"/>
        </w:trPr>
        <w:tc>
          <w:tcPr>
            <w:tcW w:w="10937" w:type="dxa"/>
            <w:gridSpan w:val="29"/>
            <w:shd w:val="clear" w:color="auto" w:fill="FFFFFF"/>
          </w:tcPr>
          <w:p w14:paraId="2911FE34" w14:textId="77777777" w:rsidR="0010032A" w:rsidRPr="0010032A" w:rsidRDefault="0010032A" w:rsidP="0010032A">
            <w:pPr>
              <w:spacing w:before="120" w:after="120"/>
              <w:jc w:val="both"/>
              <w:rPr>
                <w:rFonts w:ascii="Times New Roman" w:eastAsia="Calibri" w:hAnsi="Times New Roman" w:cs="Times New Roman"/>
                <w:color w:val="000000"/>
                <w:shd w:val="clear" w:color="auto" w:fill="FFFFFF"/>
              </w:rPr>
            </w:pPr>
            <w:r w:rsidRPr="0010032A">
              <w:rPr>
                <w:rFonts w:ascii="Times New Roman" w:eastAsia="Calibri" w:hAnsi="Times New Roman" w:cs="Times New Roman"/>
                <w:color w:val="000000"/>
                <w:shd w:val="clear" w:color="auto" w:fill="FFFFFF"/>
              </w:rPr>
              <w:t>Projekt rozporządzenia nie był przedmiotem pre-konsultacji.</w:t>
            </w:r>
          </w:p>
          <w:p w14:paraId="3251EBA1" w14:textId="52D1243F" w:rsidR="0010032A" w:rsidRPr="0010032A" w:rsidRDefault="0010032A" w:rsidP="0010032A">
            <w:pPr>
              <w:spacing w:before="120" w:after="120"/>
              <w:jc w:val="both"/>
              <w:rPr>
                <w:rFonts w:ascii="Times New Roman" w:eastAsia="Calibri" w:hAnsi="Times New Roman" w:cs="Times New Roman"/>
                <w:color w:val="000000"/>
                <w:shd w:val="clear" w:color="auto" w:fill="FFFFFF"/>
              </w:rPr>
            </w:pPr>
            <w:r w:rsidRPr="0010032A">
              <w:rPr>
                <w:rFonts w:ascii="Times New Roman" w:eastAsia="Calibri" w:hAnsi="Times New Roman" w:cs="Times New Roman"/>
                <w:color w:val="000000"/>
                <w:shd w:val="clear" w:color="auto" w:fill="FFFFFF"/>
              </w:rPr>
              <w:t xml:space="preserve">Konsultacje publiczne będą przeprowadzone w okresie 21 dni. </w:t>
            </w:r>
            <w:r w:rsidR="00485EA6">
              <w:rPr>
                <w:rFonts w:ascii="Times New Roman" w:hAnsi="Times New Roman"/>
                <w:color w:val="0D0D0D"/>
              </w:rPr>
              <w:t xml:space="preserve">Skrócenie terminu konsultacji jest podyktowane </w:t>
            </w:r>
            <w:r w:rsidR="00485EA6" w:rsidRPr="00525FDC">
              <w:rPr>
                <w:rFonts w:ascii="Times New Roman" w:hAnsi="Times New Roman"/>
                <w:color w:val="0D0D0D"/>
              </w:rPr>
              <w:t>koniecznością zapewnienia świadczeniobiorcom możliwie najlepszej jakości oraz dostępności do świadczeń</w:t>
            </w:r>
            <w:r w:rsidR="00485EA6">
              <w:rPr>
                <w:rFonts w:ascii="Times New Roman" w:hAnsi="Times New Roman"/>
                <w:color w:val="0D0D0D"/>
              </w:rPr>
              <w:t xml:space="preserve"> gwarantowanych oraz wdrożeniem przedmiotowych zmian w terminie 1 </w:t>
            </w:r>
            <w:r w:rsidR="00D07385">
              <w:rPr>
                <w:rFonts w:ascii="Times New Roman" w:hAnsi="Times New Roman"/>
                <w:color w:val="0D0D0D"/>
              </w:rPr>
              <w:t>kwietnia</w:t>
            </w:r>
            <w:r w:rsidR="00485EA6">
              <w:rPr>
                <w:rFonts w:ascii="Times New Roman" w:hAnsi="Times New Roman"/>
                <w:color w:val="0D0D0D"/>
              </w:rPr>
              <w:t xml:space="preserve"> 2018 r.</w:t>
            </w:r>
          </w:p>
          <w:p w14:paraId="3C685450" w14:textId="77777777" w:rsidR="00D07385" w:rsidRDefault="0010032A" w:rsidP="0010032A">
            <w:pPr>
              <w:spacing w:before="120" w:after="120"/>
              <w:jc w:val="both"/>
              <w:rPr>
                <w:rFonts w:ascii="Times New Roman" w:eastAsia="Calibri" w:hAnsi="Times New Roman" w:cs="Times New Roman"/>
                <w:color w:val="000000"/>
                <w:shd w:val="clear" w:color="auto" w:fill="FFFFFF"/>
              </w:rPr>
            </w:pPr>
            <w:r w:rsidRPr="0010032A">
              <w:rPr>
                <w:rFonts w:ascii="Times New Roman" w:eastAsia="Calibri" w:hAnsi="Times New Roman" w:cs="Times New Roman"/>
                <w:color w:val="000000"/>
                <w:shd w:val="clear" w:color="auto" w:fill="FFFFFF"/>
              </w:rPr>
              <w:t>W ramach konsultacji publicznych i opiniowania projekt zosta</w:t>
            </w:r>
            <w:r w:rsidR="00B33D36">
              <w:rPr>
                <w:rFonts w:ascii="Times New Roman" w:eastAsia="Calibri" w:hAnsi="Times New Roman" w:cs="Times New Roman"/>
                <w:color w:val="000000"/>
                <w:shd w:val="clear" w:color="auto" w:fill="FFFFFF"/>
              </w:rPr>
              <w:t>ł</w:t>
            </w:r>
            <w:r w:rsidRPr="0010032A">
              <w:rPr>
                <w:rFonts w:ascii="Times New Roman" w:eastAsia="Calibri" w:hAnsi="Times New Roman" w:cs="Times New Roman"/>
                <w:color w:val="000000"/>
                <w:shd w:val="clear" w:color="auto" w:fill="FFFFFF"/>
              </w:rPr>
              <w:t xml:space="preserve"> przesłany do zaopiniowania przez następujące podmioty:</w:t>
            </w:r>
          </w:p>
          <w:p w14:paraId="05D1D85E" w14:textId="77777777" w:rsidR="00D07385" w:rsidRPr="00D07385" w:rsidRDefault="00D07385" w:rsidP="00D07385">
            <w:pPr>
              <w:spacing w:before="120" w:after="120"/>
              <w:jc w:val="both"/>
              <w:rPr>
                <w:rFonts w:ascii="Times New Roman" w:eastAsia="Calibri" w:hAnsi="Times New Roman" w:cs="Times New Roman"/>
                <w:color w:val="000000"/>
                <w:shd w:val="clear" w:color="auto" w:fill="FFFFFF"/>
              </w:rPr>
            </w:pPr>
            <w:r w:rsidRPr="00D07385">
              <w:rPr>
                <w:rFonts w:ascii="Times New Roman" w:eastAsia="Calibri" w:hAnsi="Times New Roman" w:cs="Times New Roman"/>
                <w:color w:val="000000"/>
                <w:shd w:val="clear" w:color="auto" w:fill="FFFFFF"/>
              </w:rPr>
              <w:t>a) konsultantami krajowymi w wybranych dziedzinach medycyny,</w:t>
            </w:r>
          </w:p>
          <w:p w14:paraId="5E663B54" w14:textId="48C75E17" w:rsidR="00D07385" w:rsidRDefault="00D07385" w:rsidP="00D07385">
            <w:pPr>
              <w:spacing w:before="120" w:after="120"/>
              <w:jc w:val="both"/>
              <w:rPr>
                <w:rFonts w:ascii="Times New Roman" w:eastAsia="Calibri" w:hAnsi="Times New Roman" w:cs="Times New Roman"/>
                <w:color w:val="000000"/>
                <w:shd w:val="clear" w:color="auto" w:fill="FFFFFF"/>
              </w:rPr>
            </w:pPr>
            <w:r w:rsidRPr="00D07385">
              <w:rPr>
                <w:rFonts w:ascii="Times New Roman" w:eastAsia="Calibri" w:hAnsi="Times New Roman" w:cs="Times New Roman"/>
                <w:color w:val="000000"/>
                <w:shd w:val="clear" w:color="auto" w:fill="FFFFFF"/>
              </w:rPr>
              <w:t>b)</w:t>
            </w:r>
            <w:r>
              <w:rPr>
                <w:rFonts w:ascii="Times New Roman" w:eastAsia="Calibri" w:hAnsi="Times New Roman" w:cs="Times New Roman"/>
                <w:color w:val="000000"/>
                <w:shd w:val="clear" w:color="auto" w:fill="FFFFFF"/>
              </w:rPr>
              <w:t xml:space="preserve"> </w:t>
            </w:r>
            <w:r w:rsidRPr="00D07385">
              <w:rPr>
                <w:rFonts w:ascii="Times New Roman" w:eastAsia="Calibri" w:hAnsi="Times New Roman" w:cs="Times New Roman"/>
                <w:color w:val="000000"/>
                <w:shd w:val="clear" w:color="auto" w:fill="FFFFFF"/>
              </w:rPr>
              <w:t xml:space="preserve">samorządami zawodowymi (Naczelna Rada Lekarska, Naczelna Rada Aptekarska, Naczelna Rada Pielęgniarek i Położnych, Krajowa </w:t>
            </w:r>
            <w:r w:rsidR="00DE7C09">
              <w:rPr>
                <w:rFonts w:ascii="Times New Roman" w:eastAsia="Calibri" w:hAnsi="Times New Roman" w:cs="Times New Roman"/>
                <w:color w:val="000000"/>
                <w:shd w:val="clear" w:color="auto" w:fill="FFFFFF"/>
              </w:rPr>
              <w:t>Izba</w:t>
            </w:r>
            <w:r w:rsidRPr="00D07385">
              <w:rPr>
                <w:rFonts w:ascii="Times New Roman" w:eastAsia="Calibri" w:hAnsi="Times New Roman" w:cs="Times New Roman"/>
                <w:color w:val="000000"/>
                <w:shd w:val="clear" w:color="auto" w:fill="FFFFFF"/>
              </w:rPr>
              <w:t xml:space="preserve"> Diagnostów Laboratoryjnych</w:t>
            </w:r>
            <w:r w:rsidR="00DE7C09">
              <w:rPr>
                <w:rFonts w:ascii="Times New Roman" w:eastAsia="Calibri" w:hAnsi="Times New Roman" w:cs="Times New Roman"/>
                <w:color w:val="000000"/>
                <w:shd w:val="clear" w:color="auto" w:fill="FFFFFF"/>
              </w:rPr>
              <w:t>, Krajowa Izba Fizjoterap</w:t>
            </w:r>
            <w:r w:rsidR="002D29F4">
              <w:rPr>
                <w:rFonts w:ascii="Times New Roman" w:eastAsia="Calibri" w:hAnsi="Times New Roman" w:cs="Times New Roman"/>
                <w:color w:val="000000"/>
                <w:shd w:val="clear" w:color="auto" w:fill="FFFFFF"/>
              </w:rPr>
              <w:t>e</w:t>
            </w:r>
            <w:r w:rsidR="00DE7C09">
              <w:rPr>
                <w:rFonts w:ascii="Times New Roman" w:eastAsia="Calibri" w:hAnsi="Times New Roman" w:cs="Times New Roman"/>
                <w:color w:val="000000"/>
                <w:shd w:val="clear" w:color="auto" w:fill="FFFFFF"/>
              </w:rPr>
              <w:t>utów</w:t>
            </w:r>
            <w:r w:rsidRPr="00D07385">
              <w:rPr>
                <w:rFonts w:ascii="Times New Roman" w:eastAsia="Calibri" w:hAnsi="Times New Roman" w:cs="Times New Roman"/>
                <w:color w:val="000000"/>
                <w:shd w:val="clear" w:color="auto" w:fill="FFFFFF"/>
              </w:rPr>
              <w:t>),</w:t>
            </w:r>
          </w:p>
          <w:p w14:paraId="12FEF3AA" w14:textId="27BC86F0" w:rsidR="00D07385" w:rsidRDefault="00D07385" w:rsidP="00D07385">
            <w:pPr>
              <w:spacing w:before="120" w:after="120"/>
              <w:jc w:val="both"/>
              <w:rPr>
                <w:rFonts w:ascii="Times New Roman" w:eastAsia="Calibri" w:hAnsi="Times New Roman" w:cs="Times New Roman"/>
                <w:color w:val="000000"/>
                <w:shd w:val="clear" w:color="auto" w:fill="FFFFFF"/>
              </w:rPr>
            </w:pPr>
            <w:r w:rsidRPr="00D07385">
              <w:rPr>
                <w:rFonts w:ascii="Times New Roman" w:eastAsia="Calibri" w:hAnsi="Times New Roman" w:cs="Times New Roman"/>
                <w:color w:val="000000"/>
                <w:shd w:val="clear" w:color="auto" w:fill="FFFFFF"/>
              </w:rPr>
              <w:t>c)</w:t>
            </w:r>
            <w:r>
              <w:rPr>
                <w:rFonts w:ascii="Times New Roman" w:eastAsia="Calibri" w:hAnsi="Times New Roman" w:cs="Times New Roman"/>
                <w:color w:val="000000"/>
                <w:shd w:val="clear" w:color="auto" w:fill="FFFFFF"/>
              </w:rPr>
              <w:t xml:space="preserve"> </w:t>
            </w:r>
            <w:r w:rsidRPr="00D07385">
              <w:rPr>
                <w:rFonts w:ascii="Times New Roman" w:eastAsia="Calibri" w:hAnsi="Times New Roman" w:cs="Times New Roman"/>
                <w:color w:val="000000"/>
                <w:shd w:val="clear" w:color="auto" w:fill="FFFFFF"/>
              </w:rPr>
              <w:t>związkami zawodowymi oraz stowarzyszeniami reprezentującymi zawody medyczne (tj.: Ogólnopolskie Porozumienie Związków Zawodowych, Ogólnopolski Związek Zawodowy Lekarzy, Ogólnopolski Związek Zawodowy Pielęgniarek i Położnych, Ogólnopolski Związek Zawodowy Położnych, Ogólnopolski Związek Zawodowy Lekarzy Radiologów, Krajowy Sekretariat Oc</w:t>
            </w:r>
            <w:r w:rsidR="00D92E99">
              <w:rPr>
                <w:rFonts w:ascii="Times New Roman" w:eastAsia="Calibri" w:hAnsi="Times New Roman" w:cs="Times New Roman"/>
                <w:color w:val="000000"/>
                <w:shd w:val="clear" w:color="auto" w:fill="FFFFFF"/>
              </w:rPr>
              <w:t>hrony Zdrowia NSZZ „Solidarność</w:t>
            </w:r>
            <w:r w:rsidRPr="00D07385">
              <w:rPr>
                <w:rFonts w:ascii="Times New Roman" w:eastAsia="Calibri" w:hAnsi="Times New Roman" w:cs="Times New Roman"/>
                <w:color w:val="000000"/>
                <w:shd w:val="clear" w:color="auto" w:fill="FFFFFF"/>
              </w:rPr>
              <w:t>”, Federacja Związków Zawodowych Pracowników Ochrony Zdrowia i Pomocy Społecznej, Biuro Komisji Krajowej NSZZ „Solidarność”, Krajowy Sekretariat Ochrony Zdrowia NZZZ „Solidarność 80”, Forum Związków Zawodowych, Ogólnopolski Związek Zawodowy Techników Medycznych Radioterapii, Ogólnopolski Związek Zawodowy Techników Medycznych „Medyk”, Ogólnopolski Związek Zawodowy Techników Medycznych Elektroradiologii, Ogólnopolski Związek Zawodowy Pracowników Bloku Operacyjnego, Anestezjologii i Intensywnej Terapii, Związek Zawodowy Anestezjologów, Związek Zawodowy Chirurgów Polskich, Związek Zawodowy Neonatologów, Związek Zawodowy Lekarzy Specjalności Chirurgicznych, Ogólnopolski Związek Zawodowy Pracowników Fizjoterapii, Krajowy Związek Zawodowy Pracowników Medycznych Laboratoriów Diagnostycznych, Kolegium Lekarzy Rodzinnych, Kolegium Pielęgniarek i Położnych w Polsce, Izba Lecznictwa Polskiego</w:t>
            </w:r>
            <w:r w:rsidR="00235439">
              <w:rPr>
                <w:rFonts w:ascii="Times New Roman" w:eastAsia="Calibri" w:hAnsi="Times New Roman" w:cs="Times New Roman"/>
                <w:color w:val="000000"/>
                <w:shd w:val="clear" w:color="auto" w:fill="FFFFFF"/>
              </w:rPr>
              <w:t xml:space="preserve">, </w:t>
            </w:r>
            <w:r w:rsidR="00235439" w:rsidRPr="00D07385">
              <w:rPr>
                <w:rFonts w:ascii="Times New Roman" w:eastAsia="Calibri" w:hAnsi="Times New Roman" w:cs="Times New Roman"/>
                <w:color w:val="000000"/>
                <w:shd w:val="clear" w:color="auto" w:fill="FFFFFF"/>
              </w:rPr>
              <w:t>Ogólnopolska Konfederacja Związków Zawodowych Pracowników Ochrony Zdrowia</w:t>
            </w:r>
            <w:r w:rsidR="00235439">
              <w:rPr>
                <w:rFonts w:ascii="Times New Roman" w:eastAsia="Calibri" w:hAnsi="Times New Roman" w:cs="Times New Roman"/>
                <w:color w:val="000000"/>
                <w:shd w:val="clear" w:color="auto" w:fill="FFFFFF"/>
              </w:rPr>
              <w:t xml:space="preserve">, </w:t>
            </w:r>
            <w:r w:rsidR="00235439" w:rsidRPr="0010032A">
              <w:rPr>
                <w:rFonts w:ascii="Times New Roman" w:eastAsia="Calibri" w:hAnsi="Times New Roman" w:cs="Times New Roman"/>
                <w:color w:val="000000"/>
                <w:shd w:val="clear" w:color="auto" w:fill="FFFFFF"/>
              </w:rPr>
              <w:t>Sekretariat Ochrony Zdrowia KK NSZZ „Solidarność”,</w:t>
            </w:r>
            <w:r w:rsidRPr="00D07385">
              <w:rPr>
                <w:rFonts w:ascii="Times New Roman" w:eastAsia="Calibri" w:hAnsi="Times New Roman" w:cs="Times New Roman"/>
                <w:color w:val="000000"/>
                <w:shd w:val="clear" w:color="auto" w:fill="FFFFFF"/>
              </w:rPr>
              <w:t>),</w:t>
            </w:r>
          </w:p>
          <w:p w14:paraId="59D674AF" w14:textId="7C9F4B7F" w:rsidR="00D07385" w:rsidRPr="00152F46" w:rsidRDefault="00D07385" w:rsidP="00371E0B">
            <w:pPr>
              <w:spacing w:before="120" w:after="120"/>
              <w:jc w:val="both"/>
              <w:rPr>
                <w:rFonts w:ascii="Times New Roman" w:eastAsia="Calibri" w:hAnsi="Times New Roman" w:cs="Times New Roman"/>
                <w:color w:val="000000"/>
                <w:shd w:val="clear" w:color="auto" w:fill="FFFFFF"/>
              </w:rPr>
            </w:pPr>
            <w:r w:rsidRPr="00D07385">
              <w:rPr>
                <w:rFonts w:ascii="Times New Roman" w:eastAsia="Calibri" w:hAnsi="Times New Roman" w:cs="Times New Roman"/>
                <w:color w:val="000000"/>
                <w:shd w:val="clear" w:color="auto" w:fill="FFFFFF"/>
              </w:rPr>
              <w:t>d)</w:t>
            </w:r>
            <w:r>
              <w:rPr>
                <w:rFonts w:ascii="Times New Roman" w:eastAsia="Calibri" w:hAnsi="Times New Roman" w:cs="Times New Roman"/>
                <w:color w:val="000000"/>
                <w:shd w:val="clear" w:color="auto" w:fill="FFFFFF"/>
              </w:rPr>
              <w:t xml:space="preserve"> </w:t>
            </w:r>
            <w:r w:rsidRPr="00D07385">
              <w:rPr>
                <w:rFonts w:ascii="Times New Roman" w:eastAsia="Calibri" w:hAnsi="Times New Roman" w:cs="Times New Roman"/>
                <w:color w:val="000000"/>
                <w:shd w:val="clear" w:color="auto" w:fill="FFFFFF"/>
              </w:rPr>
              <w:t xml:space="preserve">stowarzyszeniami w ochronie zdrowia, w tym z tymi działającymi na rzecz pacjentów (tj.: Stowarzyszenie Magistrów i Techników Farmacji, Stowarzyszenie Menedżerów Ochrony Zdrowia, Stowarzyszenie Primum Non Nocere, Stowarzyszenie Unia Uzdrowisk Polskich, </w:t>
            </w:r>
            <w:r w:rsidRPr="00152F46">
              <w:rPr>
                <w:rFonts w:ascii="Times New Roman" w:eastAsia="Calibri" w:hAnsi="Times New Roman" w:cs="Times New Roman"/>
                <w:color w:val="000000"/>
                <w:shd w:val="clear" w:color="auto" w:fill="FFFFFF"/>
              </w:rPr>
              <w:t>Federacja Pacjentów Polskich, Instytut Praw Pacjenta i Edukacji Zdrowotnej</w:t>
            </w:r>
            <w:r w:rsidR="00235439" w:rsidRPr="00152F46">
              <w:rPr>
                <w:rFonts w:ascii="Times New Roman" w:eastAsia="Calibri" w:hAnsi="Times New Roman" w:cs="Times New Roman"/>
                <w:color w:val="000000"/>
                <w:shd w:val="clear" w:color="auto" w:fill="FFFFFF"/>
              </w:rPr>
              <w:t xml:space="preserve">, </w:t>
            </w:r>
            <w:r w:rsidR="002D29F4" w:rsidRPr="00152F46">
              <w:rPr>
                <w:rFonts w:ascii="Times New Roman" w:eastAsia="Calibri" w:hAnsi="Times New Roman" w:cs="Times New Roman"/>
                <w:color w:val="000000"/>
                <w:shd w:val="clear" w:color="auto" w:fill="FFFFFF"/>
              </w:rPr>
              <w:t>Obywatelskie Stowarzyszenie –</w:t>
            </w:r>
            <w:r w:rsidR="00235439" w:rsidRPr="00152F46">
              <w:rPr>
                <w:rFonts w:ascii="Times New Roman" w:eastAsia="Calibri" w:hAnsi="Times New Roman" w:cs="Times New Roman"/>
                <w:color w:val="000000"/>
                <w:shd w:val="clear" w:color="auto" w:fill="FFFFFF"/>
              </w:rPr>
              <w:t xml:space="preserve"> Dla Dobra Pacjenta</w:t>
            </w:r>
            <w:r w:rsidR="00371E0B" w:rsidRPr="00152F46">
              <w:rPr>
                <w:rFonts w:ascii="Times New Roman" w:eastAsia="Calibri" w:hAnsi="Times New Roman" w:cs="Times New Roman"/>
                <w:color w:val="000000"/>
                <w:shd w:val="clear" w:color="auto" w:fill="FFFFFF"/>
              </w:rPr>
              <w:t>, Polskie Towarzystwo Farmakoekonomiczne, Polskie Towarzystwo Koderów Medycznych</w:t>
            </w:r>
            <w:r w:rsidRPr="00152F46">
              <w:rPr>
                <w:rFonts w:ascii="Times New Roman" w:eastAsia="Calibri" w:hAnsi="Times New Roman" w:cs="Times New Roman"/>
                <w:color w:val="000000"/>
                <w:shd w:val="clear" w:color="auto" w:fill="FFFFFF"/>
              </w:rPr>
              <w:t xml:space="preserve">), </w:t>
            </w:r>
          </w:p>
          <w:p w14:paraId="134732B2" w14:textId="2D132371" w:rsidR="00D07385" w:rsidRPr="00152F46" w:rsidRDefault="00D07385" w:rsidP="00152F46">
            <w:pPr>
              <w:pStyle w:val="Teksttreci41"/>
              <w:numPr>
                <w:ilvl w:val="0"/>
                <w:numId w:val="4"/>
              </w:numPr>
              <w:tabs>
                <w:tab w:val="left" w:pos="20"/>
              </w:tabs>
              <w:spacing w:line="240" w:lineRule="auto"/>
              <w:ind w:right="200"/>
              <w:rPr>
                <w:rFonts w:ascii="Times New Roman" w:hAnsi="Times New Roman" w:cs="Times New Roman"/>
                <w:sz w:val="22"/>
                <w:szCs w:val="22"/>
                <w:shd w:val="clear" w:color="auto" w:fill="FFFFFF"/>
              </w:rPr>
            </w:pPr>
            <w:r w:rsidRPr="00152F46">
              <w:rPr>
                <w:rFonts w:ascii="Times New Roman" w:eastAsia="Calibri" w:hAnsi="Times New Roman" w:cs="Times New Roman"/>
                <w:color w:val="000000"/>
                <w:sz w:val="22"/>
                <w:szCs w:val="22"/>
                <w:shd w:val="clear" w:color="auto" w:fill="FFFFFF"/>
              </w:rPr>
              <w:t xml:space="preserve"> e) towarzystwami naukowymi (tj.: Polskie Towarzystwo Chirurgii Naczyniowej Polskie Towarzystwo Onkologii i Hematologii Dziecięcej</w:t>
            </w:r>
            <w:r w:rsidR="00D92E99" w:rsidRPr="00152F46">
              <w:rPr>
                <w:rFonts w:ascii="Times New Roman" w:eastAsia="Calibri" w:hAnsi="Times New Roman" w:cs="Times New Roman"/>
                <w:color w:val="000000"/>
                <w:sz w:val="22"/>
                <w:szCs w:val="22"/>
                <w:shd w:val="clear" w:color="auto" w:fill="FFFFFF"/>
              </w:rPr>
              <w:t>, Polskie Towarzystwo Pediatryczne</w:t>
            </w:r>
            <w:r w:rsidR="00152F46" w:rsidRPr="00152F46">
              <w:rPr>
                <w:rFonts w:ascii="Times New Roman" w:eastAsia="Calibri" w:hAnsi="Times New Roman" w:cs="Times New Roman"/>
                <w:color w:val="000000"/>
                <w:sz w:val="22"/>
                <w:szCs w:val="22"/>
                <w:shd w:val="clear" w:color="auto" w:fill="FFFFFF"/>
              </w:rPr>
              <w:t>,</w:t>
            </w:r>
            <w:r w:rsidR="00152F46" w:rsidRPr="00152F46">
              <w:rPr>
                <w:rFonts w:ascii="Times New Roman" w:hAnsi="Times New Roman" w:cs="Times New Roman"/>
                <w:sz w:val="22"/>
                <w:szCs w:val="22"/>
                <w:shd w:val="clear" w:color="auto" w:fill="FFFFFF"/>
              </w:rPr>
              <w:t xml:space="preserve"> Konferencja Rektorów Akademickich Uczelni Medycznych</w:t>
            </w:r>
            <w:r w:rsidRPr="00152F46">
              <w:rPr>
                <w:rFonts w:ascii="Times New Roman" w:eastAsia="Calibri" w:hAnsi="Times New Roman" w:cs="Times New Roman"/>
                <w:color w:val="000000"/>
                <w:sz w:val="22"/>
                <w:szCs w:val="22"/>
                <w:shd w:val="clear" w:color="auto" w:fill="FFFFFF"/>
              </w:rPr>
              <w:t>),</w:t>
            </w:r>
          </w:p>
          <w:p w14:paraId="2D709754" w14:textId="66E54082" w:rsidR="00D07385" w:rsidRPr="00D07385" w:rsidRDefault="00D07385" w:rsidP="00D07385">
            <w:pPr>
              <w:spacing w:before="120" w:after="120"/>
              <w:jc w:val="both"/>
              <w:rPr>
                <w:rFonts w:ascii="Times New Roman" w:eastAsia="Calibri" w:hAnsi="Times New Roman" w:cs="Times New Roman"/>
                <w:color w:val="000000"/>
                <w:shd w:val="clear" w:color="auto" w:fill="FFFFFF"/>
              </w:rPr>
            </w:pPr>
            <w:r w:rsidRPr="00D07385">
              <w:rPr>
                <w:rFonts w:ascii="Times New Roman" w:eastAsia="Calibri" w:hAnsi="Times New Roman" w:cs="Times New Roman"/>
                <w:color w:val="000000"/>
                <w:shd w:val="clear" w:color="auto" w:fill="FFFFFF"/>
              </w:rPr>
              <w:t>f)</w:t>
            </w:r>
            <w:r>
              <w:rPr>
                <w:rFonts w:ascii="Times New Roman" w:eastAsia="Calibri" w:hAnsi="Times New Roman" w:cs="Times New Roman"/>
                <w:color w:val="000000"/>
                <w:shd w:val="clear" w:color="auto" w:fill="FFFFFF"/>
              </w:rPr>
              <w:t xml:space="preserve"> </w:t>
            </w:r>
            <w:r w:rsidRPr="00D07385">
              <w:rPr>
                <w:rFonts w:ascii="Times New Roman" w:eastAsia="Calibri" w:hAnsi="Times New Roman" w:cs="Times New Roman"/>
                <w:color w:val="000000"/>
                <w:shd w:val="clear" w:color="auto" w:fill="FFFFFF"/>
              </w:rPr>
              <w:t xml:space="preserve">instytutami badawczymi (tj.: Centrum Onkologii – Instytut im. Marii Skłodowskiej-Curie w Warszawie, Instytut „Centrum Zdrowia Matki Polki” w Łodzi, Instytut Fizjologii i Patologii Słuchu w Warszawie, Instytut Gruźlicy i Chorób Płuc w Warszawie, Instytut Hematologii i Transfuzjologii w Warszawie, Instytut Kardiologii im. Prymasa Tysiąclecia Stefana Kardynała Wyszyńskiego, Instytut Matki i Dziecka w Warszawie, Instytut Medycyny Pracy im. prof. dr med. Jerzego Nofera w Łodzi, Instytut Medycyny Pracy i Zdrowia Środowiskowego w Sosnowcu, Instytut Medycyny Wsi im. Witolda Chodźki w Lublinie, Instytut „Pomnik – Centrum Zdrowia Dziecka” w Warszawie, Instytut Psychiatrii i Neurologii w Warszawie, Narodowy Instytut Geriatrii, Reumatologii i Rehabilitacji im. prof. dr hab. med. Eleonory Reicher, Instytut Żywności i </w:t>
            </w:r>
            <w:r w:rsidRPr="00D07385">
              <w:rPr>
                <w:rFonts w:ascii="Times New Roman" w:eastAsia="Calibri" w:hAnsi="Times New Roman" w:cs="Times New Roman"/>
                <w:color w:val="000000"/>
                <w:shd w:val="clear" w:color="auto" w:fill="FFFFFF"/>
              </w:rPr>
              <w:lastRenderedPageBreak/>
              <w:t xml:space="preserve">Żywienia im. prof. dr med. Aleksandra Szczygła w Warszawie, Narodowy Instytut Zdrowia Publicznego – Państwowy Zakład Higieny, Narodowy Instytut Leków), </w:t>
            </w:r>
          </w:p>
          <w:p w14:paraId="536A41FD" w14:textId="06E0BFD7" w:rsidR="00D07385" w:rsidRPr="00D07385" w:rsidRDefault="00D07385" w:rsidP="00D07385">
            <w:pPr>
              <w:spacing w:before="120" w:after="120"/>
              <w:jc w:val="both"/>
              <w:rPr>
                <w:rFonts w:ascii="Times New Roman" w:eastAsia="Calibri" w:hAnsi="Times New Roman" w:cs="Times New Roman"/>
                <w:color w:val="000000"/>
                <w:shd w:val="clear" w:color="auto" w:fill="FFFFFF"/>
              </w:rPr>
            </w:pPr>
            <w:r w:rsidRPr="00D07385">
              <w:rPr>
                <w:rFonts w:ascii="Times New Roman" w:eastAsia="Calibri" w:hAnsi="Times New Roman" w:cs="Times New Roman"/>
                <w:color w:val="000000"/>
                <w:shd w:val="clear" w:color="auto" w:fill="FFFFFF"/>
              </w:rPr>
              <w:t>g)</w:t>
            </w:r>
            <w:r>
              <w:rPr>
                <w:rFonts w:ascii="Times New Roman" w:eastAsia="Calibri" w:hAnsi="Times New Roman" w:cs="Times New Roman"/>
                <w:color w:val="000000"/>
                <w:shd w:val="clear" w:color="auto" w:fill="FFFFFF"/>
              </w:rPr>
              <w:t xml:space="preserve"> </w:t>
            </w:r>
            <w:r w:rsidRPr="00D07385">
              <w:rPr>
                <w:rFonts w:ascii="Times New Roman" w:eastAsia="Calibri" w:hAnsi="Times New Roman" w:cs="Times New Roman"/>
                <w:color w:val="000000"/>
                <w:shd w:val="clear" w:color="auto" w:fill="FFFFFF"/>
              </w:rPr>
              <w:t>organizacjami pracodawców (tj.: Związek Powiatowych Samodzielnych Publicznych Zakładów Opieki Zdrowotnej Województwa Wielkopolskiego – Organizacja Pracodawców w Gnieźnie, Związek Pracodawców Ratownictwa Medycznego Samodzielnych Publicznych Zakładów Opieki Zdrowotnej, Wielkopolski Związek Zakładów Opieki Zdrowotnej – Organizacja Pracodawców, Stowarzyszenie Szpitali Powiatowych Województwa Małopolskiego, Federacja Związków Pracodawców Ochrony Zdrowia „Porozumienie Zielonogórskie”,</w:t>
            </w:r>
            <w:r w:rsidR="00DE7C09">
              <w:rPr>
                <w:rFonts w:ascii="Times New Roman" w:eastAsia="Calibri" w:hAnsi="Times New Roman" w:cs="Times New Roman"/>
                <w:color w:val="000000"/>
                <w:shd w:val="clear" w:color="auto" w:fill="FFFFFF"/>
              </w:rPr>
              <w:t xml:space="preserve"> </w:t>
            </w:r>
            <w:r w:rsidR="00DE7C09" w:rsidRPr="00D07385">
              <w:rPr>
                <w:rFonts w:ascii="Times New Roman" w:eastAsia="Calibri" w:hAnsi="Times New Roman" w:cs="Times New Roman"/>
                <w:color w:val="000000"/>
                <w:shd w:val="clear" w:color="auto" w:fill="FFFFFF"/>
              </w:rPr>
              <w:t>Konsorcjum Szpitali Wrocławskich,</w:t>
            </w:r>
            <w:r w:rsidR="00DE7C09">
              <w:rPr>
                <w:rFonts w:ascii="Times New Roman" w:eastAsia="Calibri" w:hAnsi="Times New Roman" w:cs="Times New Roman"/>
                <w:color w:val="000000"/>
                <w:shd w:val="clear" w:color="auto" w:fill="FFFFFF"/>
              </w:rPr>
              <w:t xml:space="preserve"> </w:t>
            </w:r>
            <w:r w:rsidR="00DE7C09" w:rsidRPr="0010032A">
              <w:rPr>
                <w:rFonts w:ascii="Times New Roman" w:eastAsia="Calibri" w:hAnsi="Times New Roman" w:cs="Times New Roman"/>
                <w:color w:val="000000"/>
                <w:shd w:val="clear" w:color="auto" w:fill="FFFFFF"/>
              </w:rPr>
              <w:t>Izb</w:t>
            </w:r>
            <w:r w:rsidR="00DE7C09">
              <w:rPr>
                <w:rFonts w:ascii="Times New Roman" w:eastAsia="Calibri" w:hAnsi="Times New Roman" w:cs="Times New Roman"/>
                <w:color w:val="000000"/>
                <w:shd w:val="clear" w:color="auto" w:fill="FFFFFF"/>
              </w:rPr>
              <w:t>a</w:t>
            </w:r>
            <w:r w:rsidR="00DE7C09" w:rsidRPr="0010032A">
              <w:rPr>
                <w:rFonts w:ascii="Times New Roman" w:eastAsia="Calibri" w:hAnsi="Times New Roman" w:cs="Times New Roman"/>
                <w:color w:val="000000"/>
                <w:shd w:val="clear" w:color="auto" w:fill="FFFFFF"/>
              </w:rPr>
              <w:t xml:space="preserve"> Lecznictwa Polskiego</w:t>
            </w:r>
            <w:r w:rsidR="00DE7C09">
              <w:rPr>
                <w:rFonts w:ascii="Times New Roman" w:eastAsia="Calibri" w:hAnsi="Times New Roman" w:cs="Times New Roman"/>
                <w:color w:val="000000"/>
                <w:shd w:val="clear" w:color="auto" w:fill="FFFFFF"/>
              </w:rPr>
              <w:t>,</w:t>
            </w:r>
            <w:r w:rsidR="00DE7C09" w:rsidRPr="00D07385">
              <w:rPr>
                <w:rFonts w:ascii="Times New Roman" w:eastAsia="Calibri" w:hAnsi="Times New Roman" w:cs="Times New Roman"/>
                <w:color w:val="000000"/>
                <w:shd w:val="clear" w:color="auto" w:fill="FFFFFF"/>
              </w:rPr>
              <w:t xml:space="preserve"> </w:t>
            </w:r>
            <w:r w:rsidRPr="00D07385">
              <w:rPr>
                <w:rFonts w:ascii="Times New Roman" w:eastAsia="Calibri" w:hAnsi="Times New Roman" w:cs="Times New Roman"/>
                <w:color w:val="000000"/>
                <w:shd w:val="clear" w:color="auto" w:fill="FFFFFF"/>
              </w:rPr>
              <w:t>Ogólnopolski Związek Pracodawców Zakładów Opieki Zdrowotnej, Związek Pracodawców Samodzielnych Publicznych ZOZ Warmii i Mazur, Ogólnopolski Związek Pracodawców Prywatnej Służby Zdrowia – Medycyna Prywatna, Polska Unia Szpitali Klinicznych, Business Center Club, Związek Rzemiosła Polskiego,</w:t>
            </w:r>
            <w:r w:rsidR="00DE7C09">
              <w:rPr>
                <w:rFonts w:ascii="Times New Roman" w:eastAsia="Calibri" w:hAnsi="Times New Roman" w:cs="Times New Roman"/>
                <w:color w:val="000000"/>
                <w:shd w:val="clear" w:color="auto" w:fill="FFFFFF"/>
              </w:rPr>
              <w:t xml:space="preserve"> </w:t>
            </w:r>
            <w:r w:rsidR="00FF0EA4" w:rsidRPr="0010032A">
              <w:rPr>
                <w:rFonts w:ascii="Times New Roman" w:eastAsia="Calibri" w:hAnsi="Times New Roman" w:cs="Times New Roman"/>
                <w:color w:val="000000"/>
                <w:shd w:val="clear" w:color="auto" w:fill="FFFFFF"/>
              </w:rPr>
              <w:t>Pracodawców Rzeczpospolitej Polskiej</w:t>
            </w:r>
            <w:r w:rsidR="00DE7C09" w:rsidRPr="00D07385">
              <w:rPr>
                <w:rFonts w:ascii="Times New Roman" w:eastAsia="Calibri" w:hAnsi="Times New Roman" w:cs="Times New Roman"/>
                <w:color w:val="000000"/>
                <w:shd w:val="clear" w:color="auto" w:fill="FFFFFF"/>
              </w:rPr>
              <w:t xml:space="preserve">, </w:t>
            </w:r>
            <w:r w:rsidR="00FF0EA4" w:rsidRPr="00FF0EA4">
              <w:rPr>
                <w:rFonts w:ascii="Times New Roman" w:eastAsia="Calibri" w:hAnsi="Times New Roman" w:cs="Times New Roman"/>
                <w:color w:val="000000"/>
                <w:shd w:val="clear" w:color="auto" w:fill="FFFFFF"/>
              </w:rPr>
              <w:t>Polska Konfederacja Pracodawców Prywatnych</w:t>
            </w:r>
            <w:r w:rsidR="00FF0EA4">
              <w:rPr>
                <w:rFonts w:ascii="Times New Roman" w:eastAsia="Calibri" w:hAnsi="Times New Roman" w:cs="Times New Roman"/>
                <w:color w:val="000000"/>
                <w:shd w:val="clear" w:color="auto" w:fill="FFFFFF"/>
              </w:rPr>
              <w:t xml:space="preserve"> „Lewiatan”</w:t>
            </w:r>
            <w:r w:rsidR="00DE7C09" w:rsidRPr="00D07385">
              <w:rPr>
                <w:rFonts w:ascii="Times New Roman" w:eastAsia="Calibri" w:hAnsi="Times New Roman" w:cs="Times New Roman"/>
                <w:color w:val="000000"/>
                <w:shd w:val="clear" w:color="auto" w:fill="FFFFFF"/>
              </w:rPr>
              <w:t>, Ogólnopolski Związek Pracodawców Samodzielnych Publicznych Szpitali Klinicznych, Związek Powiatowych Publicznych Zakładów Opieki Zdrowotnej Województwa Podkarpackiego, Gdański Związek Pracodawców, Związek Pracodawców Służby Zdrowia w Łodzi,</w:t>
            </w:r>
            <w:r w:rsidR="00FF0EA4">
              <w:rPr>
                <w:rFonts w:ascii="Times New Roman" w:eastAsia="Calibri" w:hAnsi="Times New Roman" w:cs="Times New Roman"/>
                <w:color w:val="000000"/>
                <w:shd w:val="clear" w:color="auto" w:fill="FFFFFF"/>
              </w:rPr>
              <w:t xml:space="preserve"> </w:t>
            </w:r>
            <w:r w:rsidR="00FF0EA4" w:rsidRPr="0010032A">
              <w:rPr>
                <w:rFonts w:ascii="Times New Roman" w:eastAsia="Calibri" w:hAnsi="Times New Roman" w:cs="Times New Roman"/>
                <w:color w:val="000000"/>
                <w:shd w:val="clear" w:color="auto" w:fill="FFFFFF"/>
              </w:rPr>
              <w:t>Konfederację Pracodawców Polskich</w:t>
            </w:r>
            <w:r w:rsidR="00FF0EA4">
              <w:rPr>
                <w:rFonts w:ascii="Times New Roman" w:eastAsia="Calibri" w:hAnsi="Times New Roman" w:cs="Times New Roman"/>
                <w:color w:val="000000"/>
                <w:shd w:val="clear" w:color="auto" w:fill="FFFFFF"/>
              </w:rPr>
              <w:t xml:space="preserve">, </w:t>
            </w:r>
            <w:r w:rsidR="00FF0EA4" w:rsidRPr="0010032A">
              <w:rPr>
                <w:rFonts w:ascii="Times New Roman" w:eastAsia="Calibri" w:hAnsi="Times New Roman" w:cs="Times New Roman"/>
                <w:color w:val="000000"/>
                <w:shd w:val="clear" w:color="auto" w:fill="FFFFFF"/>
              </w:rPr>
              <w:t>Mazowiecki Związek Pracodawców SP ZOZ</w:t>
            </w:r>
            <w:r w:rsidR="00235439">
              <w:rPr>
                <w:rFonts w:ascii="Times New Roman" w:eastAsia="Calibri" w:hAnsi="Times New Roman" w:cs="Times New Roman"/>
                <w:color w:val="000000"/>
                <w:shd w:val="clear" w:color="auto" w:fill="FFFFFF"/>
              </w:rPr>
              <w:t xml:space="preserve">, </w:t>
            </w:r>
            <w:r w:rsidR="00235439" w:rsidRPr="0010032A">
              <w:rPr>
                <w:rFonts w:ascii="Times New Roman" w:eastAsia="Calibri" w:hAnsi="Times New Roman" w:cs="Times New Roman"/>
                <w:color w:val="000000"/>
                <w:shd w:val="clear" w:color="auto" w:fill="FFFFFF"/>
              </w:rPr>
              <w:t>Ogólnopolski Związek Pracodawców Opieki Zdrowotnej</w:t>
            </w:r>
            <w:r w:rsidR="00371E0B">
              <w:rPr>
                <w:rFonts w:ascii="Times New Roman" w:eastAsia="Calibri" w:hAnsi="Times New Roman" w:cs="Times New Roman"/>
                <w:color w:val="000000"/>
                <w:shd w:val="clear" w:color="auto" w:fill="FFFFFF"/>
              </w:rPr>
              <w:t>, Federacja Przedsiębiorców Polskich)</w:t>
            </w:r>
            <w:r w:rsidR="00D06676">
              <w:rPr>
                <w:rFonts w:ascii="Times New Roman" w:eastAsia="Calibri" w:hAnsi="Times New Roman" w:cs="Times New Roman"/>
                <w:color w:val="000000"/>
                <w:shd w:val="clear" w:color="auto" w:fill="FFFFFF"/>
              </w:rPr>
              <w:t>,</w:t>
            </w:r>
          </w:p>
          <w:p w14:paraId="4E15FE21" w14:textId="7CCEF944" w:rsidR="00FF0EA4" w:rsidRDefault="00D07385" w:rsidP="00D07385">
            <w:pPr>
              <w:spacing w:before="120" w:after="120"/>
              <w:jc w:val="both"/>
              <w:rPr>
                <w:rFonts w:ascii="Times New Roman" w:eastAsia="Calibri" w:hAnsi="Times New Roman" w:cs="Times New Roman"/>
                <w:color w:val="000000"/>
                <w:shd w:val="clear" w:color="auto" w:fill="FFFFFF"/>
              </w:rPr>
            </w:pPr>
            <w:r w:rsidRPr="00D07385">
              <w:rPr>
                <w:rFonts w:ascii="Times New Roman" w:eastAsia="Calibri" w:hAnsi="Times New Roman" w:cs="Times New Roman"/>
                <w:color w:val="000000"/>
                <w:shd w:val="clear" w:color="auto" w:fill="FFFFFF"/>
              </w:rPr>
              <w:t>h) Radą Działalności Pożytku Publicznego i Radą Dialogu Społecznego</w:t>
            </w:r>
            <w:r w:rsidR="00D06676">
              <w:rPr>
                <w:rFonts w:ascii="Times New Roman" w:eastAsia="Calibri" w:hAnsi="Times New Roman" w:cs="Times New Roman"/>
                <w:color w:val="000000"/>
                <w:shd w:val="clear" w:color="auto" w:fill="FFFFFF"/>
              </w:rPr>
              <w:t>,</w:t>
            </w:r>
          </w:p>
          <w:p w14:paraId="4040C01C" w14:textId="2EEB5989" w:rsidR="00D07385" w:rsidRDefault="00FF0EA4" w:rsidP="00D07385">
            <w:pPr>
              <w:spacing w:before="120" w:after="120"/>
              <w:jc w:val="both"/>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 xml:space="preserve">i) </w:t>
            </w:r>
            <w:r>
              <w:rPr>
                <w:rFonts w:ascii="Times New Roman" w:eastAsia="Times New Roman" w:hAnsi="Times New Roman"/>
                <w:bCs/>
                <w:lang w:eastAsia="pl-PL"/>
              </w:rPr>
              <w:t>Prezesa Prokuratorii Generalnej Rzeczypospolitej Polskiej</w:t>
            </w:r>
            <w:r w:rsidR="00371E0B">
              <w:rPr>
                <w:rFonts w:ascii="Times New Roman" w:eastAsia="Times New Roman" w:hAnsi="Times New Roman"/>
                <w:bCs/>
                <w:lang w:eastAsia="pl-PL"/>
              </w:rPr>
              <w:t>. Narodowego Funduszu Zdrowia, Agencji Oceny Techn</w:t>
            </w:r>
            <w:r w:rsidR="002D29F4">
              <w:rPr>
                <w:rFonts w:ascii="Times New Roman" w:eastAsia="Times New Roman" w:hAnsi="Times New Roman"/>
                <w:bCs/>
                <w:lang w:eastAsia="pl-PL"/>
              </w:rPr>
              <w:t>ologii Medycznych i Taryfikacji</w:t>
            </w:r>
            <w:r w:rsidR="00BB77D7">
              <w:rPr>
                <w:rFonts w:ascii="Times New Roman" w:eastAsia="Times New Roman" w:hAnsi="Times New Roman"/>
                <w:bCs/>
                <w:lang w:eastAsia="pl-PL"/>
              </w:rPr>
              <w:t xml:space="preserve">, </w:t>
            </w:r>
            <w:r w:rsidR="00BB77D7" w:rsidRPr="00BB77D7">
              <w:rPr>
                <w:rFonts w:ascii="Times New Roman" w:eastAsia="Times New Roman" w:hAnsi="Times New Roman"/>
                <w:bCs/>
                <w:lang w:eastAsia="pl-PL"/>
              </w:rPr>
              <w:t>Prezes</w:t>
            </w:r>
            <w:r w:rsidR="00BB77D7">
              <w:rPr>
                <w:rFonts w:ascii="Times New Roman" w:eastAsia="Times New Roman" w:hAnsi="Times New Roman"/>
                <w:bCs/>
                <w:lang w:eastAsia="pl-PL"/>
              </w:rPr>
              <w:t>a</w:t>
            </w:r>
            <w:r w:rsidR="00BB77D7" w:rsidRPr="00BB77D7">
              <w:rPr>
                <w:rFonts w:ascii="Times New Roman" w:eastAsia="Times New Roman" w:hAnsi="Times New Roman"/>
                <w:bCs/>
                <w:lang w:eastAsia="pl-PL"/>
              </w:rPr>
              <w:t xml:space="preserve"> Urzędu Rejestracji Produktów Leczniczych, Wyrobów Medycznych i Produktów Biobójczych</w:t>
            </w:r>
            <w:r w:rsidR="00D07385" w:rsidRPr="00D07385">
              <w:rPr>
                <w:rFonts w:ascii="Times New Roman" w:eastAsia="Calibri" w:hAnsi="Times New Roman" w:cs="Times New Roman"/>
                <w:color w:val="000000"/>
                <w:shd w:val="clear" w:color="auto" w:fill="FFFFFF"/>
              </w:rPr>
              <w:t>.</w:t>
            </w:r>
          </w:p>
          <w:p w14:paraId="4643DF63" w14:textId="55AED9E8" w:rsidR="0010032A" w:rsidRPr="0010032A" w:rsidRDefault="0010032A" w:rsidP="0010032A">
            <w:pPr>
              <w:spacing w:before="120" w:after="120"/>
              <w:jc w:val="both"/>
              <w:rPr>
                <w:rFonts w:ascii="Times New Roman" w:eastAsia="Calibri" w:hAnsi="Times New Roman" w:cs="Times New Roman"/>
                <w:color w:val="000000"/>
                <w:shd w:val="clear" w:color="auto" w:fill="FFFFFF"/>
              </w:rPr>
            </w:pPr>
            <w:r w:rsidRPr="0010032A">
              <w:rPr>
                <w:rFonts w:ascii="Times New Roman" w:eastAsia="Calibri" w:hAnsi="Times New Roman" w:cs="Times New Roman"/>
                <w:color w:val="000000"/>
                <w:shd w:val="clear" w:color="auto" w:fill="FFFFFF"/>
              </w:rPr>
              <w:t>Projekt zosta</w:t>
            </w:r>
            <w:r w:rsidR="00B33D36">
              <w:rPr>
                <w:rFonts w:ascii="Times New Roman" w:eastAsia="Calibri" w:hAnsi="Times New Roman" w:cs="Times New Roman"/>
                <w:color w:val="000000"/>
                <w:shd w:val="clear" w:color="auto" w:fill="FFFFFF"/>
              </w:rPr>
              <w:t>ł</w:t>
            </w:r>
            <w:r w:rsidRPr="0010032A">
              <w:rPr>
                <w:rFonts w:ascii="Times New Roman" w:eastAsia="Calibri" w:hAnsi="Times New Roman" w:cs="Times New Roman"/>
                <w:color w:val="000000"/>
                <w:shd w:val="clear" w:color="auto" w:fill="FFFFFF"/>
              </w:rPr>
              <w:t xml:space="preserve"> przesłany do zaopiniowania Komisji Wspólnej Rządu i Samorządu Terytorialnego zgodnie z ustawą z dnia 6 maja 2005 r. o Komisji Wspólnej Rządu i Samorządu Terytorialnego oraz o przedstawicielach Rzeczypospolitej Polskiej w Komitecie Regionów Unii Europejskiej (Dz. U. poz. 759).</w:t>
            </w:r>
          </w:p>
          <w:p w14:paraId="34DDABB0" w14:textId="11233EA3" w:rsidR="0010032A" w:rsidRPr="0010032A" w:rsidRDefault="0010032A" w:rsidP="0010032A">
            <w:pPr>
              <w:spacing w:before="120" w:after="120"/>
              <w:jc w:val="both"/>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Projekt rozporządzenia zosta</w:t>
            </w:r>
            <w:r w:rsidR="00B33D36">
              <w:rPr>
                <w:rFonts w:ascii="Times New Roman" w:eastAsia="Calibri" w:hAnsi="Times New Roman" w:cs="Times New Roman"/>
                <w:color w:val="000000"/>
                <w:shd w:val="clear" w:color="auto" w:fill="FFFFFF"/>
              </w:rPr>
              <w:t>ł</w:t>
            </w:r>
            <w:r w:rsidRPr="0010032A">
              <w:rPr>
                <w:rFonts w:ascii="Times New Roman" w:eastAsia="Calibri" w:hAnsi="Times New Roman" w:cs="Times New Roman"/>
                <w:color w:val="000000"/>
                <w:shd w:val="clear" w:color="auto" w:fill="FFFFFF"/>
              </w:rPr>
              <w:t xml:space="preserve"> udostępniony w Biuletynie Informacji Publicznej Ministerstwa Zdrowia zgodnie z art. 5  ustawy z dnia 7 lipca 2005 r. o działalności lobbingowej w procesie stanowienia prawa (Dz. U. z 2017 r. poz. 248) oraz w Biuletynie Informacji Publicznej Rządowego Centrum Legislacji, zgodnie z § 52 uchwały nr 190 Rady Ministrów z dnia 29 października 2013 r. – Regulamin pracy Rady Ministrów (M.P. z 2016 r. poz. 1006 i 1204).</w:t>
            </w:r>
          </w:p>
          <w:p w14:paraId="371046CB" w14:textId="77777777" w:rsidR="007B1E52" w:rsidRPr="00442C01" w:rsidRDefault="0010032A" w:rsidP="0010032A">
            <w:pPr>
              <w:spacing w:before="120" w:after="120"/>
              <w:jc w:val="both"/>
              <w:rPr>
                <w:rFonts w:ascii="Times New Roman" w:eastAsia="Calibri" w:hAnsi="Times New Roman" w:cs="Times New Roman"/>
                <w:color w:val="000000"/>
                <w:shd w:val="clear" w:color="auto" w:fill="FFFFFF"/>
              </w:rPr>
            </w:pPr>
            <w:r w:rsidRPr="0010032A">
              <w:rPr>
                <w:rFonts w:ascii="Times New Roman" w:eastAsia="Calibri" w:hAnsi="Times New Roman" w:cs="Times New Roman"/>
                <w:color w:val="000000"/>
                <w:shd w:val="clear" w:color="auto" w:fill="FFFFFF"/>
              </w:rPr>
              <w:t>Wyniki konsultacji publicznych i opiniowania zostaną omówione w raporcie, który zostanie dołączony do niniejszej Oceny.</w:t>
            </w:r>
          </w:p>
        </w:tc>
      </w:tr>
      <w:tr w:rsidR="007B1E52" w:rsidRPr="00442C01" w14:paraId="17543ED3" w14:textId="77777777" w:rsidTr="00B17DC3">
        <w:trPr>
          <w:gridAfter w:val="1"/>
          <w:wAfter w:w="10" w:type="dxa"/>
          <w:trHeight w:val="363"/>
        </w:trPr>
        <w:tc>
          <w:tcPr>
            <w:tcW w:w="10937" w:type="dxa"/>
            <w:gridSpan w:val="29"/>
            <w:shd w:val="clear" w:color="auto" w:fill="99CCFF"/>
            <w:vAlign w:val="center"/>
          </w:tcPr>
          <w:p w14:paraId="60AAE65C" w14:textId="77777777" w:rsidR="007B1E52" w:rsidRPr="00442C01" w:rsidRDefault="007B1E52" w:rsidP="00C761E8">
            <w:pPr>
              <w:numPr>
                <w:ilvl w:val="0"/>
                <w:numId w:val="1"/>
              </w:numPr>
              <w:spacing w:before="120" w:after="120" w:line="240" w:lineRule="auto"/>
              <w:ind w:left="318" w:hanging="284"/>
              <w:jc w:val="both"/>
              <w:rPr>
                <w:rFonts w:ascii="Times New Roman" w:eastAsia="Calibri" w:hAnsi="Times New Roman" w:cs="Times New Roman"/>
                <w:b/>
                <w:color w:val="000000"/>
              </w:rPr>
            </w:pPr>
            <w:r w:rsidRPr="00442C01">
              <w:rPr>
                <w:rFonts w:ascii="Times New Roman" w:eastAsia="Calibri" w:hAnsi="Times New Roman" w:cs="Times New Roman"/>
                <w:b/>
                <w:color w:val="000000"/>
              </w:rPr>
              <w:lastRenderedPageBreak/>
              <w:t xml:space="preserve"> Wpływ na sektor finansów publicznych</w:t>
            </w:r>
          </w:p>
        </w:tc>
      </w:tr>
      <w:tr w:rsidR="007B1E52" w:rsidRPr="00B17DC3" w14:paraId="247C3E9D" w14:textId="77777777" w:rsidTr="00B17DC3">
        <w:trPr>
          <w:gridAfter w:val="1"/>
          <w:wAfter w:w="10" w:type="dxa"/>
          <w:trHeight w:val="142"/>
        </w:trPr>
        <w:tc>
          <w:tcPr>
            <w:tcW w:w="2439" w:type="dxa"/>
            <w:gridSpan w:val="3"/>
            <w:vMerge w:val="restart"/>
            <w:shd w:val="clear" w:color="auto" w:fill="FFFFFF"/>
            <w:vAlign w:val="center"/>
          </w:tcPr>
          <w:p w14:paraId="15FAF19B" w14:textId="77777777" w:rsidR="007B1E52" w:rsidRPr="00B17DC3" w:rsidRDefault="00174C75" w:rsidP="00B17DC3">
            <w:pPr>
              <w:spacing w:before="120" w:after="120"/>
              <w:jc w:val="center"/>
              <w:rPr>
                <w:rFonts w:ascii="Times New Roman" w:eastAsia="Calibri" w:hAnsi="Times New Roman" w:cs="Times New Roman"/>
                <w:i/>
                <w:color w:val="000000"/>
                <w:sz w:val="20"/>
                <w:szCs w:val="20"/>
              </w:rPr>
            </w:pPr>
            <w:r w:rsidRPr="00B17DC3">
              <w:rPr>
                <w:rFonts w:ascii="Times New Roman" w:eastAsia="Calibri" w:hAnsi="Times New Roman" w:cs="Times New Roman"/>
                <w:color w:val="000000"/>
                <w:sz w:val="20"/>
                <w:szCs w:val="20"/>
              </w:rPr>
              <w:t>(ceny stałe z 2017</w:t>
            </w:r>
            <w:r w:rsidR="007B1E52" w:rsidRPr="00B17DC3">
              <w:rPr>
                <w:rFonts w:ascii="Times New Roman" w:eastAsia="Calibri" w:hAnsi="Times New Roman" w:cs="Times New Roman"/>
                <w:color w:val="000000"/>
                <w:sz w:val="20"/>
                <w:szCs w:val="20"/>
              </w:rPr>
              <w:t xml:space="preserve"> r.)</w:t>
            </w:r>
          </w:p>
        </w:tc>
        <w:tc>
          <w:tcPr>
            <w:tcW w:w="8498" w:type="dxa"/>
            <w:gridSpan w:val="26"/>
            <w:shd w:val="clear" w:color="auto" w:fill="FFFFFF"/>
            <w:vAlign w:val="center"/>
          </w:tcPr>
          <w:p w14:paraId="57138FB0" w14:textId="77777777" w:rsidR="007B1E52" w:rsidRPr="00B17DC3" w:rsidRDefault="007B1E52" w:rsidP="00B17DC3">
            <w:pPr>
              <w:spacing w:before="120" w:after="120" w:line="240" w:lineRule="auto"/>
              <w:jc w:val="center"/>
              <w:rPr>
                <w:rFonts w:ascii="Times New Roman" w:eastAsia="Calibri" w:hAnsi="Times New Roman" w:cs="Times New Roman"/>
                <w:i/>
                <w:color w:val="000000"/>
                <w:spacing w:val="-2"/>
                <w:sz w:val="20"/>
                <w:szCs w:val="20"/>
              </w:rPr>
            </w:pPr>
            <w:r w:rsidRPr="00B17DC3">
              <w:rPr>
                <w:rFonts w:ascii="Times New Roman" w:eastAsia="Calibri" w:hAnsi="Times New Roman" w:cs="Times New Roman"/>
                <w:color w:val="000000"/>
                <w:sz w:val="20"/>
                <w:szCs w:val="20"/>
              </w:rPr>
              <w:t>Skutki w okresie 10 lat od wejścia w życie zmian [mln zł]</w:t>
            </w:r>
          </w:p>
        </w:tc>
      </w:tr>
      <w:tr w:rsidR="007B1E52" w:rsidRPr="00B17DC3" w14:paraId="14E04E0F" w14:textId="77777777" w:rsidTr="00B17DC3">
        <w:trPr>
          <w:gridAfter w:val="1"/>
          <w:wAfter w:w="10" w:type="dxa"/>
          <w:trHeight w:val="142"/>
        </w:trPr>
        <w:tc>
          <w:tcPr>
            <w:tcW w:w="2439" w:type="dxa"/>
            <w:gridSpan w:val="3"/>
            <w:vMerge/>
            <w:shd w:val="clear" w:color="auto" w:fill="FFFFFF"/>
            <w:vAlign w:val="center"/>
          </w:tcPr>
          <w:p w14:paraId="4D7AC12F" w14:textId="77777777" w:rsidR="007B1E52" w:rsidRPr="00B17DC3" w:rsidRDefault="007B1E52" w:rsidP="00B17DC3">
            <w:pPr>
              <w:spacing w:before="120" w:after="120" w:line="240" w:lineRule="auto"/>
              <w:jc w:val="center"/>
              <w:rPr>
                <w:rFonts w:ascii="Times New Roman" w:eastAsia="Calibri" w:hAnsi="Times New Roman" w:cs="Times New Roman"/>
                <w:i/>
                <w:color w:val="000000"/>
                <w:sz w:val="20"/>
                <w:szCs w:val="20"/>
              </w:rPr>
            </w:pPr>
          </w:p>
        </w:tc>
        <w:tc>
          <w:tcPr>
            <w:tcW w:w="657" w:type="dxa"/>
            <w:gridSpan w:val="2"/>
            <w:shd w:val="clear" w:color="auto" w:fill="FFFFFF"/>
            <w:vAlign w:val="center"/>
          </w:tcPr>
          <w:p w14:paraId="79521218" w14:textId="77777777" w:rsidR="007B1E52" w:rsidRPr="00B17DC3" w:rsidRDefault="007B1E52"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5C8D23BE" w14:textId="77777777" w:rsidR="007B1E52" w:rsidRPr="00B17DC3" w:rsidRDefault="007B1E52"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1</w:t>
            </w:r>
          </w:p>
        </w:tc>
        <w:tc>
          <w:tcPr>
            <w:tcW w:w="657" w:type="dxa"/>
            <w:gridSpan w:val="2"/>
            <w:shd w:val="clear" w:color="auto" w:fill="FFFFFF"/>
            <w:vAlign w:val="center"/>
          </w:tcPr>
          <w:p w14:paraId="2DA12823" w14:textId="77777777" w:rsidR="007B1E52" w:rsidRPr="00B17DC3" w:rsidRDefault="007B1E52"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2</w:t>
            </w:r>
          </w:p>
        </w:tc>
        <w:tc>
          <w:tcPr>
            <w:tcW w:w="658" w:type="dxa"/>
            <w:gridSpan w:val="3"/>
            <w:shd w:val="clear" w:color="auto" w:fill="FFFFFF"/>
            <w:vAlign w:val="center"/>
          </w:tcPr>
          <w:p w14:paraId="1A8D80B6" w14:textId="77777777" w:rsidR="007B1E52" w:rsidRPr="00B17DC3" w:rsidRDefault="007B1E52"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3</w:t>
            </w:r>
          </w:p>
        </w:tc>
        <w:tc>
          <w:tcPr>
            <w:tcW w:w="657" w:type="dxa"/>
            <w:gridSpan w:val="2"/>
            <w:shd w:val="clear" w:color="auto" w:fill="FFFFFF"/>
            <w:vAlign w:val="center"/>
          </w:tcPr>
          <w:p w14:paraId="418F9039" w14:textId="77777777" w:rsidR="007B1E52" w:rsidRPr="00B17DC3" w:rsidRDefault="007B1E52"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4</w:t>
            </w:r>
          </w:p>
        </w:tc>
        <w:tc>
          <w:tcPr>
            <w:tcW w:w="657" w:type="dxa"/>
            <w:gridSpan w:val="2"/>
            <w:shd w:val="clear" w:color="auto" w:fill="FFFFFF"/>
            <w:vAlign w:val="center"/>
          </w:tcPr>
          <w:p w14:paraId="3B9CA6D6" w14:textId="77777777" w:rsidR="007B1E52" w:rsidRPr="00B17DC3" w:rsidRDefault="007B1E52"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5</w:t>
            </w:r>
          </w:p>
        </w:tc>
        <w:tc>
          <w:tcPr>
            <w:tcW w:w="657" w:type="dxa"/>
            <w:gridSpan w:val="3"/>
            <w:shd w:val="clear" w:color="auto" w:fill="FFFFFF"/>
            <w:vAlign w:val="center"/>
          </w:tcPr>
          <w:p w14:paraId="03B92834" w14:textId="77777777" w:rsidR="007B1E52" w:rsidRPr="00B17DC3" w:rsidRDefault="007B1E52"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6</w:t>
            </w:r>
          </w:p>
        </w:tc>
        <w:tc>
          <w:tcPr>
            <w:tcW w:w="658" w:type="dxa"/>
            <w:gridSpan w:val="4"/>
            <w:shd w:val="clear" w:color="auto" w:fill="FFFFFF"/>
            <w:vAlign w:val="center"/>
          </w:tcPr>
          <w:p w14:paraId="7147F8CD" w14:textId="77777777" w:rsidR="007B1E52" w:rsidRPr="00B17DC3" w:rsidRDefault="007B1E52"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7</w:t>
            </w:r>
          </w:p>
        </w:tc>
        <w:tc>
          <w:tcPr>
            <w:tcW w:w="657" w:type="dxa"/>
            <w:shd w:val="clear" w:color="auto" w:fill="FFFFFF"/>
            <w:vAlign w:val="center"/>
          </w:tcPr>
          <w:p w14:paraId="7120CD3A" w14:textId="77777777" w:rsidR="007B1E52" w:rsidRPr="00B17DC3" w:rsidRDefault="007B1E52"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8</w:t>
            </w:r>
          </w:p>
        </w:tc>
        <w:tc>
          <w:tcPr>
            <w:tcW w:w="657" w:type="dxa"/>
            <w:gridSpan w:val="2"/>
            <w:shd w:val="clear" w:color="auto" w:fill="FFFFFF"/>
            <w:vAlign w:val="center"/>
          </w:tcPr>
          <w:p w14:paraId="126E148C" w14:textId="77777777" w:rsidR="007B1E52" w:rsidRPr="00B17DC3" w:rsidRDefault="007B1E52"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9</w:t>
            </w:r>
          </w:p>
        </w:tc>
        <w:tc>
          <w:tcPr>
            <w:tcW w:w="658" w:type="dxa"/>
            <w:gridSpan w:val="2"/>
            <w:shd w:val="clear" w:color="auto" w:fill="FFFFFF"/>
            <w:vAlign w:val="center"/>
          </w:tcPr>
          <w:p w14:paraId="2416F6AF" w14:textId="77777777" w:rsidR="007B1E52" w:rsidRPr="00B17DC3" w:rsidRDefault="007B1E52"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10</w:t>
            </w:r>
          </w:p>
        </w:tc>
        <w:tc>
          <w:tcPr>
            <w:tcW w:w="1268" w:type="dxa"/>
            <w:shd w:val="clear" w:color="auto" w:fill="FFFFFF"/>
            <w:vAlign w:val="center"/>
          </w:tcPr>
          <w:p w14:paraId="2002576A" w14:textId="77777777" w:rsidR="007B1E52" w:rsidRPr="00B17DC3" w:rsidRDefault="007B1E52" w:rsidP="00B17DC3">
            <w:pPr>
              <w:spacing w:before="120" w:after="120" w:line="240" w:lineRule="auto"/>
              <w:jc w:val="center"/>
              <w:rPr>
                <w:rFonts w:ascii="Times New Roman" w:eastAsia="Calibri" w:hAnsi="Times New Roman" w:cs="Times New Roman"/>
                <w:i/>
                <w:color w:val="000000"/>
                <w:spacing w:val="-2"/>
                <w:sz w:val="20"/>
                <w:szCs w:val="20"/>
              </w:rPr>
            </w:pPr>
            <w:r w:rsidRPr="00B17DC3">
              <w:rPr>
                <w:rFonts w:ascii="Times New Roman" w:eastAsia="Calibri" w:hAnsi="Times New Roman" w:cs="Times New Roman"/>
                <w:i/>
                <w:color w:val="000000"/>
                <w:spacing w:val="-2"/>
                <w:sz w:val="20"/>
                <w:szCs w:val="20"/>
              </w:rPr>
              <w:t>Łącznie (0-10)</w:t>
            </w:r>
          </w:p>
        </w:tc>
      </w:tr>
      <w:tr w:rsidR="00B4201C" w:rsidRPr="00442C01" w14:paraId="671C61ED" w14:textId="77777777" w:rsidTr="00B17DC3">
        <w:trPr>
          <w:trHeight w:val="321"/>
        </w:trPr>
        <w:tc>
          <w:tcPr>
            <w:tcW w:w="2439" w:type="dxa"/>
            <w:gridSpan w:val="3"/>
            <w:shd w:val="clear" w:color="auto" w:fill="FFFFFF"/>
            <w:vAlign w:val="center"/>
          </w:tcPr>
          <w:p w14:paraId="7C1F5309" w14:textId="77777777" w:rsidR="00B4201C" w:rsidRPr="00B17DC3" w:rsidRDefault="00B4201C"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b/>
                <w:color w:val="000000"/>
                <w:sz w:val="20"/>
                <w:szCs w:val="20"/>
              </w:rPr>
              <w:t>Dochody ogółem</w:t>
            </w:r>
          </w:p>
        </w:tc>
        <w:tc>
          <w:tcPr>
            <w:tcW w:w="657" w:type="dxa"/>
            <w:gridSpan w:val="2"/>
            <w:shd w:val="clear" w:color="auto" w:fill="FFFFFF"/>
            <w:vAlign w:val="center"/>
          </w:tcPr>
          <w:p w14:paraId="58C18C4F" w14:textId="77777777" w:rsidR="00B4201C" w:rsidRPr="00B17DC3" w:rsidRDefault="00B4201C"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14309F46" w14:textId="77777777" w:rsidR="00B4201C" w:rsidRPr="00B17DC3" w:rsidRDefault="00B4201C"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285AFB7A" w14:textId="77777777" w:rsidR="00B4201C" w:rsidRPr="00B17DC3" w:rsidRDefault="00B4201C"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3"/>
            <w:shd w:val="clear" w:color="auto" w:fill="FFFFFF"/>
            <w:vAlign w:val="center"/>
          </w:tcPr>
          <w:p w14:paraId="456E2FE4" w14:textId="77777777" w:rsidR="00B4201C" w:rsidRPr="00B17DC3" w:rsidRDefault="00B4201C"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2F301CFD" w14:textId="77777777" w:rsidR="00B4201C" w:rsidRPr="00B17DC3" w:rsidRDefault="00B4201C"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63D4E39C" w14:textId="77777777" w:rsidR="00B4201C" w:rsidRPr="00B17DC3" w:rsidRDefault="00B4201C"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3"/>
            <w:shd w:val="clear" w:color="auto" w:fill="FFFFFF"/>
            <w:vAlign w:val="center"/>
          </w:tcPr>
          <w:p w14:paraId="792CBF5F" w14:textId="77777777" w:rsidR="00B4201C" w:rsidRPr="00B17DC3" w:rsidRDefault="00B4201C"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4"/>
            <w:shd w:val="clear" w:color="auto" w:fill="FFFFFF"/>
            <w:vAlign w:val="center"/>
          </w:tcPr>
          <w:p w14:paraId="44B68856" w14:textId="77777777" w:rsidR="00B4201C" w:rsidRPr="00B17DC3" w:rsidRDefault="00B4201C"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shd w:val="clear" w:color="auto" w:fill="FFFFFF"/>
            <w:vAlign w:val="center"/>
          </w:tcPr>
          <w:p w14:paraId="29992994" w14:textId="77777777" w:rsidR="00B4201C" w:rsidRPr="00B17DC3" w:rsidRDefault="00B4201C"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73DCE08A" w14:textId="77777777" w:rsidR="00B4201C" w:rsidRPr="00B17DC3" w:rsidRDefault="00B4201C"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2"/>
            <w:shd w:val="clear" w:color="auto" w:fill="FFFFFF"/>
            <w:vAlign w:val="center"/>
          </w:tcPr>
          <w:p w14:paraId="7B9EFCCC" w14:textId="77777777" w:rsidR="00B4201C" w:rsidRPr="00B17DC3" w:rsidRDefault="00B4201C"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1278" w:type="dxa"/>
            <w:gridSpan w:val="2"/>
            <w:shd w:val="clear" w:color="auto" w:fill="FFFFFF"/>
            <w:vAlign w:val="center"/>
          </w:tcPr>
          <w:p w14:paraId="1D552941" w14:textId="77777777" w:rsidR="00B4201C" w:rsidRPr="00B17DC3" w:rsidRDefault="00B4201C"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r>
      <w:tr w:rsidR="00B4201C" w:rsidRPr="00442C01" w14:paraId="70A0CB8E" w14:textId="77777777" w:rsidTr="00B17DC3">
        <w:trPr>
          <w:trHeight w:val="321"/>
        </w:trPr>
        <w:tc>
          <w:tcPr>
            <w:tcW w:w="2439" w:type="dxa"/>
            <w:gridSpan w:val="3"/>
            <w:shd w:val="clear" w:color="auto" w:fill="FFFFFF"/>
            <w:vAlign w:val="center"/>
          </w:tcPr>
          <w:p w14:paraId="46E5AD98" w14:textId="77777777" w:rsidR="00B4201C" w:rsidRPr="00B17DC3" w:rsidRDefault="00B4201C"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budżet państwa</w:t>
            </w:r>
          </w:p>
        </w:tc>
        <w:tc>
          <w:tcPr>
            <w:tcW w:w="657" w:type="dxa"/>
            <w:gridSpan w:val="2"/>
            <w:shd w:val="clear" w:color="auto" w:fill="FFFFFF"/>
            <w:vAlign w:val="center"/>
          </w:tcPr>
          <w:p w14:paraId="74417AA8"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0F0B6217"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42BEC4ED"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3"/>
            <w:shd w:val="clear" w:color="auto" w:fill="FFFFFF"/>
            <w:vAlign w:val="center"/>
          </w:tcPr>
          <w:p w14:paraId="2B959742"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24D88CAE"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2299B08D"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3"/>
            <w:shd w:val="clear" w:color="auto" w:fill="FFFFFF"/>
            <w:vAlign w:val="center"/>
          </w:tcPr>
          <w:p w14:paraId="7D16D3AE"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4"/>
            <w:shd w:val="clear" w:color="auto" w:fill="FFFFFF"/>
            <w:vAlign w:val="center"/>
          </w:tcPr>
          <w:p w14:paraId="6FC3BED5"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shd w:val="clear" w:color="auto" w:fill="FFFFFF"/>
            <w:vAlign w:val="center"/>
          </w:tcPr>
          <w:p w14:paraId="437CDEB3"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28785378"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2"/>
            <w:shd w:val="clear" w:color="auto" w:fill="FFFFFF"/>
            <w:vAlign w:val="center"/>
          </w:tcPr>
          <w:p w14:paraId="2B26DF4A"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1278" w:type="dxa"/>
            <w:gridSpan w:val="2"/>
            <w:shd w:val="clear" w:color="auto" w:fill="FFFFFF"/>
            <w:vAlign w:val="center"/>
          </w:tcPr>
          <w:p w14:paraId="0D50D24F" w14:textId="77777777" w:rsidR="00B4201C" w:rsidRPr="00B17DC3" w:rsidRDefault="00174C75" w:rsidP="00B17DC3">
            <w:pPr>
              <w:spacing w:before="120" w:after="120" w:line="240" w:lineRule="auto"/>
              <w:jc w:val="center"/>
              <w:rPr>
                <w:rFonts w:ascii="Times New Roman" w:eastAsia="Calibri" w:hAnsi="Times New Roman" w:cs="Times New Roman"/>
                <w:color w:val="000000"/>
                <w:spacing w:val="-2"/>
                <w:sz w:val="20"/>
                <w:szCs w:val="20"/>
              </w:rPr>
            </w:pPr>
            <w:r w:rsidRPr="00B17DC3">
              <w:rPr>
                <w:rFonts w:ascii="Times New Roman" w:eastAsia="Calibri" w:hAnsi="Times New Roman" w:cs="Times New Roman"/>
                <w:color w:val="000000"/>
                <w:spacing w:val="-2"/>
                <w:sz w:val="20"/>
                <w:szCs w:val="20"/>
              </w:rPr>
              <w:t>0</w:t>
            </w:r>
          </w:p>
        </w:tc>
      </w:tr>
      <w:tr w:rsidR="00B4201C" w:rsidRPr="00442C01" w14:paraId="0AC37170" w14:textId="77777777" w:rsidTr="00B17DC3">
        <w:trPr>
          <w:trHeight w:val="344"/>
        </w:trPr>
        <w:tc>
          <w:tcPr>
            <w:tcW w:w="2439" w:type="dxa"/>
            <w:gridSpan w:val="3"/>
            <w:shd w:val="clear" w:color="auto" w:fill="FFFFFF"/>
            <w:vAlign w:val="center"/>
          </w:tcPr>
          <w:p w14:paraId="63AE02E4" w14:textId="77777777" w:rsidR="00B4201C" w:rsidRPr="00B17DC3" w:rsidRDefault="00B4201C"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JST</w:t>
            </w:r>
          </w:p>
        </w:tc>
        <w:tc>
          <w:tcPr>
            <w:tcW w:w="657" w:type="dxa"/>
            <w:gridSpan w:val="2"/>
            <w:shd w:val="clear" w:color="auto" w:fill="FFFFFF"/>
            <w:vAlign w:val="center"/>
          </w:tcPr>
          <w:p w14:paraId="25B1CBDB"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30E66108"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11254CE5"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3"/>
            <w:shd w:val="clear" w:color="auto" w:fill="FFFFFF"/>
            <w:vAlign w:val="center"/>
          </w:tcPr>
          <w:p w14:paraId="5F03B0A0"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2B9BD640"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14770CDA"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3"/>
            <w:shd w:val="clear" w:color="auto" w:fill="FFFFFF"/>
            <w:vAlign w:val="center"/>
          </w:tcPr>
          <w:p w14:paraId="3634B221"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4"/>
            <w:shd w:val="clear" w:color="auto" w:fill="FFFFFF"/>
            <w:vAlign w:val="center"/>
          </w:tcPr>
          <w:p w14:paraId="1EA278E7"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shd w:val="clear" w:color="auto" w:fill="FFFFFF"/>
            <w:vAlign w:val="center"/>
          </w:tcPr>
          <w:p w14:paraId="5A04F262"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0AD389D9"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2"/>
            <w:shd w:val="clear" w:color="auto" w:fill="FFFFFF"/>
            <w:vAlign w:val="center"/>
          </w:tcPr>
          <w:p w14:paraId="705C010D"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1278" w:type="dxa"/>
            <w:gridSpan w:val="2"/>
            <w:shd w:val="clear" w:color="auto" w:fill="FFFFFF"/>
            <w:vAlign w:val="center"/>
          </w:tcPr>
          <w:p w14:paraId="14A14AE8"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r>
      <w:tr w:rsidR="00B4201C" w:rsidRPr="00442C01" w14:paraId="70E422A2" w14:textId="77777777" w:rsidTr="00B17DC3">
        <w:trPr>
          <w:trHeight w:val="344"/>
        </w:trPr>
        <w:tc>
          <w:tcPr>
            <w:tcW w:w="2439" w:type="dxa"/>
            <w:gridSpan w:val="3"/>
            <w:shd w:val="clear" w:color="auto" w:fill="FFFFFF"/>
            <w:vAlign w:val="center"/>
          </w:tcPr>
          <w:p w14:paraId="06E39049" w14:textId="77777777" w:rsidR="00B4201C" w:rsidRPr="00B17DC3" w:rsidRDefault="00B4201C"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Narodowy Fundusz Zdrowia</w:t>
            </w:r>
          </w:p>
        </w:tc>
        <w:tc>
          <w:tcPr>
            <w:tcW w:w="657" w:type="dxa"/>
            <w:gridSpan w:val="2"/>
            <w:shd w:val="clear" w:color="auto" w:fill="FFFFFF"/>
            <w:vAlign w:val="center"/>
          </w:tcPr>
          <w:p w14:paraId="6322F5A4" w14:textId="77777777" w:rsidR="00B4201C" w:rsidRPr="00B17DC3" w:rsidRDefault="00B4201C"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4F368C76" w14:textId="77777777" w:rsidR="00B4201C" w:rsidRPr="00B17DC3" w:rsidRDefault="00B4201C"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7AB77CAE" w14:textId="77777777" w:rsidR="00B4201C" w:rsidRPr="00B17DC3" w:rsidRDefault="00B4201C"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3"/>
            <w:shd w:val="clear" w:color="auto" w:fill="FFFFFF"/>
            <w:vAlign w:val="center"/>
          </w:tcPr>
          <w:p w14:paraId="6C371C0A" w14:textId="77777777" w:rsidR="00B4201C" w:rsidRPr="00B17DC3" w:rsidRDefault="00B4201C"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193B9D27" w14:textId="77777777" w:rsidR="00B4201C" w:rsidRPr="00B17DC3" w:rsidRDefault="00B4201C"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1F089BD7" w14:textId="77777777" w:rsidR="00B4201C" w:rsidRPr="00B17DC3" w:rsidRDefault="00B4201C"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3"/>
            <w:shd w:val="clear" w:color="auto" w:fill="FFFFFF"/>
            <w:vAlign w:val="center"/>
          </w:tcPr>
          <w:p w14:paraId="284F4333" w14:textId="77777777" w:rsidR="00B4201C" w:rsidRPr="00B17DC3" w:rsidRDefault="00B4201C"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4"/>
            <w:shd w:val="clear" w:color="auto" w:fill="FFFFFF"/>
            <w:vAlign w:val="center"/>
          </w:tcPr>
          <w:p w14:paraId="03D1C8EF" w14:textId="77777777" w:rsidR="00B4201C" w:rsidRPr="00B17DC3" w:rsidRDefault="00B4201C"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shd w:val="clear" w:color="auto" w:fill="FFFFFF"/>
            <w:vAlign w:val="center"/>
          </w:tcPr>
          <w:p w14:paraId="22161E4A" w14:textId="77777777" w:rsidR="00B4201C" w:rsidRPr="00B17DC3" w:rsidRDefault="00B4201C"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4594CFD4" w14:textId="77777777" w:rsidR="00B4201C" w:rsidRPr="00B17DC3" w:rsidRDefault="00B4201C"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2"/>
            <w:shd w:val="clear" w:color="auto" w:fill="FFFFFF"/>
            <w:vAlign w:val="center"/>
          </w:tcPr>
          <w:p w14:paraId="78F5D4C6" w14:textId="77777777" w:rsidR="00B4201C" w:rsidRPr="00B17DC3" w:rsidRDefault="00B4201C"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1278" w:type="dxa"/>
            <w:gridSpan w:val="2"/>
            <w:shd w:val="clear" w:color="auto" w:fill="FFFFFF"/>
            <w:vAlign w:val="center"/>
          </w:tcPr>
          <w:p w14:paraId="09F0AB31" w14:textId="77777777" w:rsidR="00B4201C" w:rsidRPr="00B17DC3" w:rsidRDefault="00B4201C"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r>
      <w:tr w:rsidR="00174C75" w:rsidRPr="00442C01" w14:paraId="2074A79A" w14:textId="77777777" w:rsidTr="00B17DC3">
        <w:trPr>
          <w:trHeight w:val="330"/>
        </w:trPr>
        <w:tc>
          <w:tcPr>
            <w:tcW w:w="2439" w:type="dxa"/>
            <w:gridSpan w:val="3"/>
            <w:shd w:val="clear" w:color="auto" w:fill="FFFFFF"/>
            <w:vAlign w:val="center"/>
          </w:tcPr>
          <w:p w14:paraId="7B1184A7"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b/>
                <w:color w:val="000000"/>
                <w:sz w:val="20"/>
                <w:szCs w:val="20"/>
              </w:rPr>
              <w:t>Wydatki ogółem</w:t>
            </w:r>
          </w:p>
        </w:tc>
        <w:tc>
          <w:tcPr>
            <w:tcW w:w="657" w:type="dxa"/>
            <w:gridSpan w:val="2"/>
            <w:shd w:val="clear" w:color="auto" w:fill="FFFFFF"/>
            <w:vAlign w:val="center"/>
          </w:tcPr>
          <w:p w14:paraId="6A1AF8C5" w14:textId="77777777" w:rsidR="00174C75" w:rsidRPr="00B17DC3" w:rsidRDefault="004C257A" w:rsidP="00B17DC3">
            <w:pPr>
              <w:spacing w:before="120" w:after="120" w:line="240" w:lineRule="auto"/>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30,3</w:t>
            </w:r>
          </w:p>
        </w:tc>
        <w:tc>
          <w:tcPr>
            <w:tcW w:w="657" w:type="dxa"/>
            <w:gridSpan w:val="2"/>
            <w:shd w:val="clear" w:color="auto" w:fill="FFFFFF"/>
            <w:vAlign w:val="center"/>
          </w:tcPr>
          <w:p w14:paraId="27C69262" w14:textId="77777777" w:rsidR="00174C75" w:rsidRPr="00B17DC3" w:rsidRDefault="000916D8"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55,04</w:t>
            </w:r>
          </w:p>
        </w:tc>
        <w:tc>
          <w:tcPr>
            <w:tcW w:w="657" w:type="dxa"/>
            <w:gridSpan w:val="2"/>
            <w:shd w:val="clear" w:color="auto" w:fill="FFFFFF"/>
            <w:vAlign w:val="center"/>
          </w:tcPr>
          <w:p w14:paraId="07EA73E6"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56,02</w:t>
            </w:r>
          </w:p>
        </w:tc>
        <w:tc>
          <w:tcPr>
            <w:tcW w:w="658" w:type="dxa"/>
            <w:gridSpan w:val="3"/>
            <w:shd w:val="clear" w:color="auto" w:fill="FFFFFF"/>
            <w:vAlign w:val="center"/>
          </w:tcPr>
          <w:p w14:paraId="486CFE2B"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56,02</w:t>
            </w:r>
          </w:p>
        </w:tc>
        <w:tc>
          <w:tcPr>
            <w:tcW w:w="657" w:type="dxa"/>
            <w:gridSpan w:val="2"/>
            <w:shd w:val="clear" w:color="auto" w:fill="FFFFFF"/>
            <w:vAlign w:val="center"/>
          </w:tcPr>
          <w:p w14:paraId="185F99A1"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56,02</w:t>
            </w:r>
          </w:p>
        </w:tc>
        <w:tc>
          <w:tcPr>
            <w:tcW w:w="657" w:type="dxa"/>
            <w:gridSpan w:val="2"/>
            <w:shd w:val="clear" w:color="auto" w:fill="FFFFFF"/>
            <w:vAlign w:val="center"/>
          </w:tcPr>
          <w:p w14:paraId="26957F72"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56,02</w:t>
            </w:r>
          </w:p>
        </w:tc>
        <w:tc>
          <w:tcPr>
            <w:tcW w:w="657" w:type="dxa"/>
            <w:gridSpan w:val="3"/>
            <w:shd w:val="clear" w:color="auto" w:fill="FFFFFF"/>
            <w:vAlign w:val="center"/>
          </w:tcPr>
          <w:p w14:paraId="5046F69B"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56,02</w:t>
            </w:r>
          </w:p>
        </w:tc>
        <w:tc>
          <w:tcPr>
            <w:tcW w:w="658" w:type="dxa"/>
            <w:gridSpan w:val="4"/>
            <w:shd w:val="clear" w:color="auto" w:fill="FFFFFF"/>
            <w:vAlign w:val="center"/>
          </w:tcPr>
          <w:p w14:paraId="4D6F6902"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56,02</w:t>
            </w:r>
          </w:p>
        </w:tc>
        <w:tc>
          <w:tcPr>
            <w:tcW w:w="657" w:type="dxa"/>
            <w:shd w:val="clear" w:color="auto" w:fill="FFFFFF"/>
            <w:vAlign w:val="center"/>
          </w:tcPr>
          <w:p w14:paraId="461C3D41"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56,02</w:t>
            </w:r>
          </w:p>
        </w:tc>
        <w:tc>
          <w:tcPr>
            <w:tcW w:w="657" w:type="dxa"/>
            <w:gridSpan w:val="2"/>
            <w:shd w:val="clear" w:color="auto" w:fill="FFFFFF"/>
            <w:vAlign w:val="center"/>
          </w:tcPr>
          <w:p w14:paraId="4466C40D"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56,02</w:t>
            </w:r>
          </w:p>
        </w:tc>
        <w:tc>
          <w:tcPr>
            <w:tcW w:w="658" w:type="dxa"/>
            <w:gridSpan w:val="2"/>
            <w:shd w:val="clear" w:color="auto" w:fill="FFFFFF"/>
            <w:vAlign w:val="center"/>
          </w:tcPr>
          <w:p w14:paraId="357BED9B"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56,02</w:t>
            </w:r>
          </w:p>
        </w:tc>
        <w:tc>
          <w:tcPr>
            <w:tcW w:w="1278" w:type="dxa"/>
            <w:gridSpan w:val="2"/>
            <w:shd w:val="clear" w:color="auto" w:fill="FFFFFF"/>
            <w:vAlign w:val="center"/>
          </w:tcPr>
          <w:p w14:paraId="6E5726B4" w14:textId="77777777" w:rsidR="00174C75" w:rsidRPr="00B17DC3" w:rsidRDefault="000916D8"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599,62</w:t>
            </w:r>
          </w:p>
        </w:tc>
      </w:tr>
      <w:tr w:rsidR="00B4201C" w:rsidRPr="00442C01" w14:paraId="77E44B80" w14:textId="77777777" w:rsidTr="00B17DC3">
        <w:trPr>
          <w:trHeight w:val="330"/>
        </w:trPr>
        <w:tc>
          <w:tcPr>
            <w:tcW w:w="2439" w:type="dxa"/>
            <w:gridSpan w:val="3"/>
            <w:shd w:val="clear" w:color="auto" w:fill="FFFFFF"/>
            <w:vAlign w:val="center"/>
          </w:tcPr>
          <w:p w14:paraId="364E7B1D" w14:textId="77777777" w:rsidR="00B4201C" w:rsidRPr="00B17DC3" w:rsidRDefault="00B4201C"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budżet państwa</w:t>
            </w:r>
          </w:p>
        </w:tc>
        <w:tc>
          <w:tcPr>
            <w:tcW w:w="657" w:type="dxa"/>
            <w:gridSpan w:val="2"/>
            <w:shd w:val="clear" w:color="auto" w:fill="FFFFFF"/>
            <w:vAlign w:val="center"/>
          </w:tcPr>
          <w:p w14:paraId="7BD5DBE7"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56621AFD"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0CB22F4F"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3"/>
            <w:shd w:val="clear" w:color="auto" w:fill="FFFFFF"/>
            <w:vAlign w:val="center"/>
          </w:tcPr>
          <w:p w14:paraId="2ACDA38C"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2E07EE07"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014356EB"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3"/>
            <w:shd w:val="clear" w:color="auto" w:fill="FFFFFF"/>
            <w:vAlign w:val="center"/>
          </w:tcPr>
          <w:p w14:paraId="0F6A16B8"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4"/>
            <w:shd w:val="clear" w:color="auto" w:fill="FFFFFF"/>
            <w:vAlign w:val="center"/>
          </w:tcPr>
          <w:p w14:paraId="73F63DCD"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shd w:val="clear" w:color="auto" w:fill="FFFFFF"/>
            <w:vAlign w:val="center"/>
          </w:tcPr>
          <w:p w14:paraId="48ADC637"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4D99FB08"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2"/>
            <w:shd w:val="clear" w:color="auto" w:fill="FFFFFF"/>
            <w:vAlign w:val="center"/>
          </w:tcPr>
          <w:p w14:paraId="27402D96"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1278" w:type="dxa"/>
            <w:gridSpan w:val="2"/>
            <w:shd w:val="clear" w:color="auto" w:fill="FFFFFF"/>
            <w:vAlign w:val="center"/>
          </w:tcPr>
          <w:p w14:paraId="64219880" w14:textId="77777777" w:rsidR="00B4201C"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r>
      <w:tr w:rsidR="00174C75" w:rsidRPr="00442C01" w14:paraId="15DEC200" w14:textId="77777777" w:rsidTr="00B17DC3">
        <w:trPr>
          <w:trHeight w:val="351"/>
        </w:trPr>
        <w:tc>
          <w:tcPr>
            <w:tcW w:w="2439" w:type="dxa"/>
            <w:gridSpan w:val="3"/>
            <w:shd w:val="clear" w:color="auto" w:fill="FFFFFF"/>
            <w:vAlign w:val="center"/>
          </w:tcPr>
          <w:p w14:paraId="0C316803"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JST</w:t>
            </w:r>
          </w:p>
        </w:tc>
        <w:tc>
          <w:tcPr>
            <w:tcW w:w="657" w:type="dxa"/>
            <w:gridSpan w:val="2"/>
            <w:shd w:val="clear" w:color="auto" w:fill="FFFFFF"/>
            <w:vAlign w:val="center"/>
          </w:tcPr>
          <w:p w14:paraId="5E6FEDF7"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07090363"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7FD39A98"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3"/>
            <w:shd w:val="clear" w:color="auto" w:fill="FFFFFF"/>
            <w:vAlign w:val="center"/>
          </w:tcPr>
          <w:p w14:paraId="73DEAACF"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404BAF20"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328A3611"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3"/>
            <w:shd w:val="clear" w:color="auto" w:fill="FFFFFF"/>
            <w:vAlign w:val="center"/>
          </w:tcPr>
          <w:p w14:paraId="7B49030A"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4"/>
            <w:shd w:val="clear" w:color="auto" w:fill="FFFFFF"/>
            <w:vAlign w:val="center"/>
          </w:tcPr>
          <w:p w14:paraId="3B0680CF"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shd w:val="clear" w:color="auto" w:fill="FFFFFF"/>
            <w:vAlign w:val="center"/>
          </w:tcPr>
          <w:p w14:paraId="03884784"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1E2C3CEA"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2"/>
            <w:shd w:val="clear" w:color="auto" w:fill="FFFFFF"/>
            <w:vAlign w:val="center"/>
          </w:tcPr>
          <w:p w14:paraId="2229AC0F"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1278" w:type="dxa"/>
            <w:gridSpan w:val="2"/>
            <w:shd w:val="clear" w:color="auto" w:fill="FFFFFF"/>
            <w:vAlign w:val="center"/>
          </w:tcPr>
          <w:p w14:paraId="33BA8721"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r>
      <w:tr w:rsidR="00174C75" w:rsidRPr="00442C01" w14:paraId="5C5B1827" w14:textId="77777777" w:rsidTr="00B17DC3">
        <w:trPr>
          <w:trHeight w:val="351"/>
        </w:trPr>
        <w:tc>
          <w:tcPr>
            <w:tcW w:w="2439" w:type="dxa"/>
            <w:gridSpan w:val="3"/>
            <w:shd w:val="clear" w:color="auto" w:fill="FFFFFF"/>
            <w:vAlign w:val="center"/>
          </w:tcPr>
          <w:p w14:paraId="1DC538A4"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Narodowy Fundusz Zdrowia</w:t>
            </w:r>
          </w:p>
        </w:tc>
        <w:tc>
          <w:tcPr>
            <w:tcW w:w="657" w:type="dxa"/>
            <w:gridSpan w:val="2"/>
            <w:shd w:val="clear" w:color="auto" w:fill="FFFFFF"/>
            <w:vAlign w:val="center"/>
          </w:tcPr>
          <w:p w14:paraId="321ABFB9" w14:textId="77777777" w:rsidR="00174C75" w:rsidRPr="00B17DC3" w:rsidRDefault="004C257A" w:rsidP="00B17DC3">
            <w:pPr>
              <w:spacing w:before="120" w:after="120" w:line="240" w:lineRule="auto"/>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30.3</w:t>
            </w:r>
          </w:p>
        </w:tc>
        <w:tc>
          <w:tcPr>
            <w:tcW w:w="657" w:type="dxa"/>
            <w:gridSpan w:val="2"/>
            <w:shd w:val="clear" w:color="auto" w:fill="FFFFFF"/>
            <w:vAlign w:val="center"/>
          </w:tcPr>
          <w:p w14:paraId="4739F55F" w14:textId="77777777" w:rsidR="00174C75" w:rsidRPr="00B17DC3" w:rsidRDefault="000916D8"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55,04</w:t>
            </w:r>
          </w:p>
        </w:tc>
        <w:tc>
          <w:tcPr>
            <w:tcW w:w="657" w:type="dxa"/>
            <w:gridSpan w:val="2"/>
            <w:shd w:val="clear" w:color="auto" w:fill="FFFFFF"/>
            <w:vAlign w:val="center"/>
          </w:tcPr>
          <w:p w14:paraId="15871D33"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56,02</w:t>
            </w:r>
          </w:p>
        </w:tc>
        <w:tc>
          <w:tcPr>
            <w:tcW w:w="658" w:type="dxa"/>
            <w:gridSpan w:val="3"/>
            <w:shd w:val="clear" w:color="auto" w:fill="FFFFFF"/>
            <w:vAlign w:val="center"/>
          </w:tcPr>
          <w:p w14:paraId="7B77DF47"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56,02</w:t>
            </w:r>
          </w:p>
        </w:tc>
        <w:tc>
          <w:tcPr>
            <w:tcW w:w="657" w:type="dxa"/>
            <w:gridSpan w:val="2"/>
            <w:shd w:val="clear" w:color="auto" w:fill="FFFFFF"/>
            <w:vAlign w:val="center"/>
          </w:tcPr>
          <w:p w14:paraId="40BD9803"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56,02</w:t>
            </w:r>
          </w:p>
        </w:tc>
        <w:tc>
          <w:tcPr>
            <w:tcW w:w="657" w:type="dxa"/>
            <w:gridSpan w:val="2"/>
            <w:shd w:val="clear" w:color="auto" w:fill="FFFFFF"/>
            <w:vAlign w:val="center"/>
          </w:tcPr>
          <w:p w14:paraId="447D7040"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56,02</w:t>
            </w:r>
          </w:p>
        </w:tc>
        <w:tc>
          <w:tcPr>
            <w:tcW w:w="657" w:type="dxa"/>
            <w:gridSpan w:val="3"/>
            <w:shd w:val="clear" w:color="auto" w:fill="FFFFFF"/>
            <w:vAlign w:val="center"/>
          </w:tcPr>
          <w:p w14:paraId="1B4813D4"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56,02</w:t>
            </w:r>
          </w:p>
        </w:tc>
        <w:tc>
          <w:tcPr>
            <w:tcW w:w="658" w:type="dxa"/>
            <w:gridSpan w:val="4"/>
            <w:shd w:val="clear" w:color="auto" w:fill="FFFFFF"/>
            <w:vAlign w:val="center"/>
          </w:tcPr>
          <w:p w14:paraId="372D77EB"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56,02</w:t>
            </w:r>
          </w:p>
        </w:tc>
        <w:tc>
          <w:tcPr>
            <w:tcW w:w="657" w:type="dxa"/>
            <w:shd w:val="clear" w:color="auto" w:fill="FFFFFF"/>
            <w:vAlign w:val="center"/>
          </w:tcPr>
          <w:p w14:paraId="665E4C48"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56,02</w:t>
            </w:r>
          </w:p>
        </w:tc>
        <w:tc>
          <w:tcPr>
            <w:tcW w:w="657" w:type="dxa"/>
            <w:gridSpan w:val="2"/>
            <w:shd w:val="clear" w:color="auto" w:fill="FFFFFF"/>
            <w:vAlign w:val="center"/>
          </w:tcPr>
          <w:p w14:paraId="4AA16529"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56,02</w:t>
            </w:r>
          </w:p>
        </w:tc>
        <w:tc>
          <w:tcPr>
            <w:tcW w:w="658" w:type="dxa"/>
            <w:gridSpan w:val="2"/>
            <w:shd w:val="clear" w:color="auto" w:fill="FFFFFF"/>
            <w:vAlign w:val="center"/>
          </w:tcPr>
          <w:p w14:paraId="2CB2AB2A"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56,02</w:t>
            </w:r>
          </w:p>
        </w:tc>
        <w:tc>
          <w:tcPr>
            <w:tcW w:w="1278" w:type="dxa"/>
            <w:gridSpan w:val="2"/>
            <w:shd w:val="clear" w:color="auto" w:fill="FFFFFF"/>
            <w:vAlign w:val="center"/>
          </w:tcPr>
          <w:p w14:paraId="5D5D38DB" w14:textId="77777777" w:rsidR="00174C75" w:rsidRPr="00B17DC3" w:rsidRDefault="000916D8"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599,62</w:t>
            </w:r>
          </w:p>
        </w:tc>
      </w:tr>
      <w:tr w:rsidR="00174C75" w:rsidRPr="00442C01" w14:paraId="11E7042F" w14:textId="77777777" w:rsidTr="00B17DC3">
        <w:trPr>
          <w:trHeight w:val="360"/>
        </w:trPr>
        <w:tc>
          <w:tcPr>
            <w:tcW w:w="2439" w:type="dxa"/>
            <w:gridSpan w:val="3"/>
            <w:shd w:val="clear" w:color="auto" w:fill="FFFFFF"/>
            <w:vAlign w:val="center"/>
          </w:tcPr>
          <w:p w14:paraId="2DBA6DE8"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b/>
                <w:color w:val="000000"/>
                <w:sz w:val="20"/>
                <w:szCs w:val="20"/>
              </w:rPr>
              <w:t>Saldo ogółem</w:t>
            </w:r>
          </w:p>
        </w:tc>
        <w:tc>
          <w:tcPr>
            <w:tcW w:w="657" w:type="dxa"/>
            <w:gridSpan w:val="2"/>
            <w:shd w:val="clear" w:color="auto" w:fill="FFFFFF"/>
            <w:vAlign w:val="center"/>
          </w:tcPr>
          <w:p w14:paraId="641719AC" w14:textId="77777777" w:rsidR="00174C75" w:rsidRPr="00B17DC3" w:rsidRDefault="00174C75" w:rsidP="004C257A">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w:t>
            </w:r>
            <w:r w:rsidR="004C257A">
              <w:rPr>
                <w:rFonts w:ascii="Times New Roman" w:hAnsi="Times New Roman" w:cs="Times New Roman"/>
                <w:color w:val="000000"/>
                <w:sz w:val="20"/>
                <w:szCs w:val="20"/>
              </w:rPr>
              <w:t>30,3</w:t>
            </w:r>
          </w:p>
        </w:tc>
        <w:tc>
          <w:tcPr>
            <w:tcW w:w="657" w:type="dxa"/>
            <w:gridSpan w:val="2"/>
            <w:shd w:val="clear" w:color="auto" w:fill="FFFFFF"/>
            <w:vAlign w:val="center"/>
          </w:tcPr>
          <w:p w14:paraId="6540C4C2" w14:textId="77777777" w:rsidR="00174C75" w:rsidRPr="00B17DC3" w:rsidRDefault="000916D8"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-55,04</w:t>
            </w:r>
          </w:p>
        </w:tc>
        <w:tc>
          <w:tcPr>
            <w:tcW w:w="657" w:type="dxa"/>
            <w:gridSpan w:val="2"/>
            <w:shd w:val="clear" w:color="auto" w:fill="FFFFFF"/>
            <w:vAlign w:val="center"/>
          </w:tcPr>
          <w:p w14:paraId="00C92830"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-56,02</w:t>
            </w:r>
          </w:p>
        </w:tc>
        <w:tc>
          <w:tcPr>
            <w:tcW w:w="658" w:type="dxa"/>
            <w:gridSpan w:val="3"/>
            <w:shd w:val="clear" w:color="auto" w:fill="FFFFFF"/>
            <w:vAlign w:val="center"/>
          </w:tcPr>
          <w:p w14:paraId="40176785"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-56,02</w:t>
            </w:r>
          </w:p>
        </w:tc>
        <w:tc>
          <w:tcPr>
            <w:tcW w:w="657" w:type="dxa"/>
            <w:gridSpan w:val="2"/>
            <w:shd w:val="clear" w:color="auto" w:fill="FFFFFF"/>
            <w:vAlign w:val="center"/>
          </w:tcPr>
          <w:p w14:paraId="5CEB27FE"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-56,02</w:t>
            </w:r>
          </w:p>
        </w:tc>
        <w:tc>
          <w:tcPr>
            <w:tcW w:w="657" w:type="dxa"/>
            <w:gridSpan w:val="2"/>
            <w:shd w:val="clear" w:color="auto" w:fill="FFFFFF"/>
            <w:vAlign w:val="center"/>
          </w:tcPr>
          <w:p w14:paraId="446A15F0"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-56,02</w:t>
            </w:r>
          </w:p>
        </w:tc>
        <w:tc>
          <w:tcPr>
            <w:tcW w:w="657" w:type="dxa"/>
            <w:gridSpan w:val="3"/>
            <w:shd w:val="clear" w:color="auto" w:fill="FFFFFF"/>
            <w:vAlign w:val="center"/>
          </w:tcPr>
          <w:p w14:paraId="34D869C9"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-56,02</w:t>
            </w:r>
          </w:p>
        </w:tc>
        <w:tc>
          <w:tcPr>
            <w:tcW w:w="658" w:type="dxa"/>
            <w:gridSpan w:val="4"/>
            <w:shd w:val="clear" w:color="auto" w:fill="FFFFFF"/>
            <w:vAlign w:val="center"/>
          </w:tcPr>
          <w:p w14:paraId="6D5F1670"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-56,02</w:t>
            </w:r>
          </w:p>
        </w:tc>
        <w:tc>
          <w:tcPr>
            <w:tcW w:w="657" w:type="dxa"/>
            <w:shd w:val="clear" w:color="auto" w:fill="FFFFFF"/>
            <w:vAlign w:val="center"/>
          </w:tcPr>
          <w:p w14:paraId="73ECBF65"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-56,02</w:t>
            </w:r>
          </w:p>
        </w:tc>
        <w:tc>
          <w:tcPr>
            <w:tcW w:w="657" w:type="dxa"/>
            <w:gridSpan w:val="2"/>
            <w:shd w:val="clear" w:color="auto" w:fill="FFFFFF"/>
            <w:vAlign w:val="center"/>
          </w:tcPr>
          <w:p w14:paraId="5C777782"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-56,02</w:t>
            </w:r>
          </w:p>
        </w:tc>
        <w:tc>
          <w:tcPr>
            <w:tcW w:w="658" w:type="dxa"/>
            <w:gridSpan w:val="2"/>
            <w:shd w:val="clear" w:color="auto" w:fill="FFFFFF"/>
            <w:vAlign w:val="center"/>
          </w:tcPr>
          <w:p w14:paraId="6E308CC4"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-56,02</w:t>
            </w:r>
          </w:p>
        </w:tc>
        <w:tc>
          <w:tcPr>
            <w:tcW w:w="1278" w:type="dxa"/>
            <w:gridSpan w:val="2"/>
            <w:shd w:val="clear" w:color="auto" w:fill="FFFFFF"/>
            <w:vAlign w:val="center"/>
          </w:tcPr>
          <w:p w14:paraId="57953389" w14:textId="77777777" w:rsidR="00174C75" w:rsidRPr="00B17DC3" w:rsidRDefault="000916D8"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-599</w:t>
            </w:r>
            <w:r w:rsidR="00174C75" w:rsidRPr="00B17DC3">
              <w:rPr>
                <w:rFonts w:ascii="Times New Roman" w:hAnsi="Times New Roman" w:cs="Times New Roman"/>
                <w:color w:val="000000"/>
                <w:sz w:val="20"/>
                <w:szCs w:val="20"/>
              </w:rPr>
              <w:t>,</w:t>
            </w:r>
            <w:r w:rsidRPr="00B17DC3">
              <w:rPr>
                <w:rFonts w:ascii="Times New Roman" w:hAnsi="Times New Roman" w:cs="Times New Roman"/>
                <w:color w:val="000000"/>
                <w:sz w:val="20"/>
                <w:szCs w:val="20"/>
              </w:rPr>
              <w:t>62</w:t>
            </w:r>
          </w:p>
        </w:tc>
      </w:tr>
      <w:tr w:rsidR="00174C75" w:rsidRPr="00442C01" w14:paraId="39C7F762" w14:textId="77777777" w:rsidTr="00B17DC3">
        <w:trPr>
          <w:trHeight w:val="360"/>
        </w:trPr>
        <w:tc>
          <w:tcPr>
            <w:tcW w:w="2439" w:type="dxa"/>
            <w:gridSpan w:val="3"/>
            <w:shd w:val="clear" w:color="auto" w:fill="FFFFFF"/>
            <w:vAlign w:val="center"/>
          </w:tcPr>
          <w:p w14:paraId="66984AC0"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budżet państwa</w:t>
            </w:r>
          </w:p>
        </w:tc>
        <w:tc>
          <w:tcPr>
            <w:tcW w:w="657" w:type="dxa"/>
            <w:gridSpan w:val="2"/>
            <w:shd w:val="clear" w:color="auto" w:fill="FFFFFF"/>
            <w:vAlign w:val="center"/>
          </w:tcPr>
          <w:p w14:paraId="7B78931E"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5BB0F144"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2E2491D9"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3"/>
            <w:shd w:val="clear" w:color="auto" w:fill="FFFFFF"/>
            <w:vAlign w:val="center"/>
          </w:tcPr>
          <w:p w14:paraId="4BFC0AFF"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1F3EB853"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4431F9E8"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3"/>
            <w:shd w:val="clear" w:color="auto" w:fill="FFFFFF"/>
            <w:vAlign w:val="center"/>
          </w:tcPr>
          <w:p w14:paraId="4C4D0422"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4"/>
            <w:shd w:val="clear" w:color="auto" w:fill="FFFFFF"/>
            <w:vAlign w:val="center"/>
          </w:tcPr>
          <w:p w14:paraId="41A477CD"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shd w:val="clear" w:color="auto" w:fill="FFFFFF"/>
            <w:vAlign w:val="center"/>
          </w:tcPr>
          <w:p w14:paraId="5D94B914"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2D8D2AA7"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2"/>
            <w:shd w:val="clear" w:color="auto" w:fill="FFFFFF"/>
            <w:vAlign w:val="center"/>
          </w:tcPr>
          <w:p w14:paraId="1BAA2236"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1278" w:type="dxa"/>
            <w:gridSpan w:val="2"/>
            <w:shd w:val="clear" w:color="auto" w:fill="FFFFFF"/>
            <w:vAlign w:val="center"/>
          </w:tcPr>
          <w:p w14:paraId="68EF276A"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r>
      <w:tr w:rsidR="00174C75" w:rsidRPr="00442C01" w14:paraId="63F35F2A" w14:textId="77777777" w:rsidTr="00B17DC3">
        <w:trPr>
          <w:trHeight w:val="357"/>
        </w:trPr>
        <w:tc>
          <w:tcPr>
            <w:tcW w:w="2439" w:type="dxa"/>
            <w:gridSpan w:val="3"/>
            <w:shd w:val="clear" w:color="auto" w:fill="FFFFFF"/>
            <w:vAlign w:val="center"/>
          </w:tcPr>
          <w:p w14:paraId="476A3754"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lastRenderedPageBreak/>
              <w:t>JST</w:t>
            </w:r>
          </w:p>
        </w:tc>
        <w:tc>
          <w:tcPr>
            <w:tcW w:w="657" w:type="dxa"/>
            <w:gridSpan w:val="2"/>
            <w:shd w:val="clear" w:color="auto" w:fill="FFFFFF"/>
            <w:vAlign w:val="center"/>
          </w:tcPr>
          <w:p w14:paraId="50D96B5B"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3FF853BB"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34B10653"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3"/>
            <w:shd w:val="clear" w:color="auto" w:fill="FFFFFF"/>
            <w:vAlign w:val="center"/>
          </w:tcPr>
          <w:p w14:paraId="064C6C62"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3CE690FE"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74552C3F"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3"/>
            <w:shd w:val="clear" w:color="auto" w:fill="FFFFFF"/>
            <w:vAlign w:val="center"/>
          </w:tcPr>
          <w:p w14:paraId="028F7423"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4"/>
            <w:shd w:val="clear" w:color="auto" w:fill="FFFFFF"/>
            <w:vAlign w:val="center"/>
          </w:tcPr>
          <w:p w14:paraId="546710F2"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shd w:val="clear" w:color="auto" w:fill="FFFFFF"/>
            <w:vAlign w:val="center"/>
          </w:tcPr>
          <w:p w14:paraId="1101F088"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12754902"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2"/>
            <w:shd w:val="clear" w:color="auto" w:fill="FFFFFF"/>
            <w:vAlign w:val="center"/>
          </w:tcPr>
          <w:p w14:paraId="387E7CA9"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1278" w:type="dxa"/>
            <w:gridSpan w:val="2"/>
            <w:shd w:val="clear" w:color="auto" w:fill="FFFFFF"/>
            <w:vAlign w:val="center"/>
          </w:tcPr>
          <w:p w14:paraId="67813C4E"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r>
      <w:tr w:rsidR="00174C75" w:rsidRPr="00442C01" w14:paraId="2033629E" w14:textId="77777777" w:rsidTr="00B17DC3">
        <w:trPr>
          <w:trHeight w:val="690"/>
        </w:trPr>
        <w:tc>
          <w:tcPr>
            <w:tcW w:w="2439" w:type="dxa"/>
            <w:gridSpan w:val="3"/>
            <w:shd w:val="clear" w:color="auto" w:fill="FFFFFF"/>
            <w:vAlign w:val="center"/>
          </w:tcPr>
          <w:p w14:paraId="0A96BE81"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Narodowy Fundusz Zdrowia</w:t>
            </w:r>
          </w:p>
        </w:tc>
        <w:tc>
          <w:tcPr>
            <w:tcW w:w="657" w:type="dxa"/>
            <w:gridSpan w:val="2"/>
            <w:shd w:val="clear" w:color="auto" w:fill="FFFFFF"/>
            <w:vAlign w:val="center"/>
          </w:tcPr>
          <w:p w14:paraId="54171216" w14:textId="77777777" w:rsidR="00174C75" w:rsidRPr="00B17DC3" w:rsidRDefault="00174C75" w:rsidP="004C257A">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w:t>
            </w:r>
            <w:r w:rsidR="004C257A">
              <w:rPr>
                <w:rFonts w:ascii="Times New Roman" w:hAnsi="Times New Roman" w:cs="Times New Roman"/>
                <w:color w:val="000000"/>
                <w:sz w:val="20"/>
                <w:szCs w:val="20"/>
              </w:rPr>
              <w:t>30,3</w:t>
            </w:r>
          </w:p>
        </w:tc>
        <w:tc>
          <w:tcPr>
            <w:tcW w:w="657" w:type="dxa"/>
            <w:gridSpan w:val="2"/>
            <w:shd w:val="clear" w:color="auto" w:fill="FFFFFF"/>
            <w:vAlign w:val="center"/>
          </w:tcPr>
          <w:p w14:paraId="141DAAD0" w14:textId="77777777" w:rsidR="00174C75" w:rsidRPr="00B17DC3" w:rsidRDefault="000916D8"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-55,04</w:t>
            </w:r>
          </w:p>
        </w:tc>
        <w:tc>
          <w:tcPr>
            <w:tcW w:w="657" w:type="dxa"/>
            <w:gridSpan w:val="2"/>
            <w:shd w:val="clear" w:color="auto" w:fill="FFFFFF"/>
            <w:vAlign w:val="center"/>
          </w:tcPr>
          <w:p w14:paraId="512EB8B7"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-56,02</w:t>
            </w:r>
          </w:p>
        </w:tc>
        <w:tc>
          <w:tcPr>
            <w:tcW w:w="658" w:type="dxa"/>
            <w:gridSpan w:val="3"/>
            <w:shd w:val="clear" w:color="auto" w:fill="FFFFFF"/>
            <w:vAlign w:val="center"/>
          </w:tcPr>
          <w:p w14:paraId="08712571"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-56,02</w:t>
            </w:r>
          </w:p>
        </w:tc>
        <w:tc>
          <w:tcPr>
            <w:tcW w:w="657" w:type="dxa"/>
            <w:gridSpan w:val="2"/>
            <w:shd w:val="clear" w:color="auto" w:fill="FFFFFF"/>
            <w:vAlign w:val="center"/>
          </w:tcPr>
          <w:p w14:paraId="77B6152C"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-56,02</w:t>
            </w:r>
          </w:p>
        </w:tc>
        <w:tc>
          <w:tcPr>
            <w:tcW w:w="657" w:type="dxa"/>
            <w:gridSpan w:val="2"/>
            <w:shd w:val="clear" w:color="auto" w:fill="FFFFFF"/>
            <w:vAlign w:val="center"/>
          </w:tcPr>
          <w:p w14:paraId="1F5730DF" w14:textId="77777777" w:rsidR="00174C75" w:rsidRPr="00B17DC3" w:rsidRDefault="00174C75"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-56,02</w:t>
            </w:r>
          </w:p>
        </w:tc>
        <w:tc>
          <w:tcPr>
            <w:tcW w:w="657" w:type="dxa"/>
            <w:gridSpan w:val="3"/>
            <w:shd w:val="clear" w:color="auto" w:fill="FFFFFF"/>
            <w:vAlign w:val="center"/>
          </w:tcPr>
          <w:p w14:paraId="6EFAA676" w14:textId="77777777" w:rsidR="00174C75" w:rsidRPr="00B17DC3" w:rsidRDefault="00174C75" w:rsidP="00B17DC3">
            <w:pPr>
              <w:spacing w:before="120" w:after="120"/>
              <w:jc w:val="center"/>
              <w:rPr>
                <w:rFonts w:ascii="Times New Roman" w:eastAsia="Calibri" w:hAnsi="Times New Roman" w:cs="Times New Roman"/>
                <w:sz w:val="20"/>
                <w:szCs w:val="20"/>
              </w:rPr>
            </w:pPr>
            <w:r w:rsidRPr="00B17DC3">
              <w:rPr>
                <w:rFonts w:ascii="Times New Roman" w:hAnsi="Times New Roman" w:cs="Times New Roman"/>
                <w:color w:val="000000"/>
                <w:sz w:val="20"/>
                <w:szCs w:val="20"/>
              </w:rPr>
              <w:t>-56,02</w:t>
            </w:r>
          </w:p>
        </w:tc>
        <w:tc>
          <w:tcPr>
            <w:tcW w:w="658" w:type="dxa"/>
            <w:gridSpan w:val="4"/>
            <w:shd w:val="clear" w:color="auto" w:fill="FFFFFF"/>
            <w:vAlign w:val="center"/>
          </w:tcPr>
          <w:p w14:paraId="20D0F9B3" w14:textId="77777777" w:rsidR="00174C75" w:rsidRPr="00B17DC3" w:rsidRDefault="00174C75" w:rsidP="00B17DC3">
            <w:pPr>
              <w:spacing w:before="120" w:after="120"/>
              <w:jc w:val="center"/>
              <w:rPr>
                <w:rFonts w:ascii="Times New Roman" w:eastAsia="Calibri" w:hAnsi="Times New Roman" w:cs="Times New Roman"/>
                <w:sz w:val="20"/>
                <w:szCs w:val="20"/>
              </w:rPr>
            </w:pPr>
            <w:r w:rsidRPr="00B17DC3">
              <w:rPr>
                <w:rFonts w:ascii="Times New Roman" w:hAnsi="Times New Roman" w:cs="Times New Roman"/>
                <w:color w:val="000000"/>
                <w:sz w:val="20"/>
                <w:szCs w:val="20"/>
              </w:rPr>
              <w:t>-56,02</w:t>
            </w:r>
          </w:p>
        </w:tc>
        <w:tc>
          <w:tcPr>
            <w:tcW w:w="657" w:type="dxa"/>
            <w:shd w:val="clear" w:color="auto" w:fill="FFFFFF"/>
            <w:vAlign w:val="center"/>
          </w:tcPr>
          <w:p w14:paraId="0C08132F" w14:textId="77777777" w:rsidR="00174C75" w:rsidRPr="00B17DC3" w:rsidRDefault="00174C75" w:rsidP="00B17DC3">
            <w:pPr>
              <w:spacing w:before="120" w:after="120"/>
              <w:jc w:val="center"/>
              <w:rPr>
                <w:rFonts w:ascii="Times New Roman" w:eastAsia="Calibri" w:hAnsi="Times New Roman" w:cs="Times New Roman"/>
                <w:sz w:val="20"/>
                <w:szCs w:val="20"/>
              </w:rPr>
            </w:pPr>
            <w:r w:rsidRPr="00B17DC3">
              <w:rPr>
                <w:rFonts w:ascii="Times New Roman" w:hAnsi="Times New Roman" w:cs="Times New Roman"/>
                <w:color w:val="000000"/>
                <w:sz w:val="20"/>
                <w:szCs w:val="20"/>
              </w:rPr>
              <w:t>-56,02</w:t>
            </w:r>
          </w:p>
        </w:tc>
        <w:tc>
          <w:tcPr>
            <w:tcW w:w="657" w:type="dxa"/>
            <w:gridSpan w:val="2"/>
            <w:shd w:val="clear" w:color="auto" w:fill="FFFFFF"/>
            <w:vAlign w:val="center"/>
          </w:tcPr>
          <w:p w14:paraId="2CD4ACAB" w14:textId="77777777" w:rsidR="00174C75" w:rsidRPr="00B17DC3" w:rsidRDefault="00174C75" w:rsidP="00B17DC3">
            <w:pPr>
              <w:spacing w:before="120" w:after="120"/>
              <w:jc w:val="center"/>
              <w:rPr>
                <w:rFonts w:ascii="Times New Roman" w:eastAsia="Calibri" w:hAnsi="Times New Roman" w:cs="Times New Roman"/>
                <w:sz w:val="20"/>
                <w:szCs w:val="20"/>
              </w:rPr>
            </w:pPr>
            <w:r w:rsidRPr="00B17DC3">
              <w:rPr>
                <w:rFonts w:ascii="Times New Roman" w:hAnsi="Times New Roman" w:cs="Times New Roman"/>
                <w:color w:val="000000"/>
                <w:sz w:val="20"/>
                <w:szCs w:val="20"/>
              </w:rPr>
              <w:t>-56,02</w:t>
            </w:r>
          </w:p>
        </w:tc>
        <w:tc>
          <w:tcPr>
            <w:tcW w:w="658" w:type="dxa"/>
            <w:gridSpan w:val="2"/>
            <w:shd w:val="clear" w:color="auto" w:fill="FFFFFF"/>
            <w:vAlign w:val="center"/>
          </w:tcPr>
          <w:p w14:paraId="75F0F79B" w14:textId="77777777" w:rsidR="00174C75" w:rsidRPr="00B17DC3" w:rsidRDefault="00174C75" w:rsidP="00B17DC3">
            <w:pPr>
              <w:spacing w:before="120" w:after="120"/>
              <w:jc w:val="center"/>
              <w:rPr>
                <w:rFonts w:ascii="Times New Roman" w:eastAsia="Calibri" w:hAnsi="Times New Roman" w:cs="Times New Roman"/>
                <w:sz w:val="20"/>
                <w:szCs w:val="20"/>
              </w:rPr>
            </w:pPr>
            <w:r w:rsidRPr="00B17DC3">
              <w:rPr>
                <w:rFonts w:ascii="Times New Roman" w:hAnsi="Times New Roman" w:cs="Times New Roman"/>
                <w:color w:val="000000"/>
                <w:sz w:val="20"/>
                <w:szCs w:val="20"/>
              </w:rPr>
              <w:t>-56,02</w:t>
            </w:r>
          </w:p>
        </w:tc>
        <w:tc>
          <w:tcPr>
            <w:tcW w:w="1278" w:type="dxa"/>
            <w:gridSpan w:val="2"/>
            <w:shd w:val="clear" w:color="auto" w:fill="FFFFFF"/>
            <w:vAlign w:val="center"/>
          </w:tcPr>
          <w:p w14:paraId="3857ED32" w14:textId="77777777" w:rsidR="00174C75" w:rsidRPr="00B17DC3" w:rsidRDefault="000916D8" w:rsidP="00B17DC3">
            <w:pPr>
              <w:spacing w:before="120" w:after="120" w:line="240" w:lineRule="auto"/>
              <w:jc w:val="center"/>
              <w:rPr>
                <w:rFonts w:ascii="Times New Roman" w:eastAsia="Calibri" w:hAnsi="Times New Roman" w:cs="Times New Roman"/>
                <w:color w:val="000000"/>
                <w:sz w:val="20"/>
                <w:szCs w:val="20"/>
              </w:rPr>
            </w:pPr>
            <w:r w:rsidRPr="00B17DC3">
              <w:rPr>
                <w:rFonts w:ascii="Times New Roman" w:hAnsi="Times New Roman" w:cs="Times New Roman"/>
                <w:color w:val="000000"/>
                <w:sz w:val="20"/>
                <w:szCs w:val="20"/>
              </w:rPr>
              <w:t>-599,62</w:t>
            </w:r>
          </w:p>
        </w:tc>
      </w:tr>
      <w:tr w:rsidR="00B4201C" w:rsidRPr="00442C01" w14:paraId="5CCC5089" w14:textId="77777777" w:rsidTr="00B17DC3">
        <w:trPr>
          <w:gridAfter w:val="1"/>
          <w:wAfter w:w="10" w:type="dxa"/>
          <w:trHeight w:val="782"/>
        </w:trPr>
        <w:tc>
          <w:tcPr>
            <w:tcW w:w="1589" w:type="dxa"/>
            <w:shd w:val="clear" w:color="auto" w:fill="FFFFFF"/>
            <w:vAlign w:val="center"/>
          </w:tcPr>
          <w:p w14:paraId="6E5B1DDD" w14:textId="77777777" w:rsidR="00B4201C" w:rsidRPr="00442C01" w:rsidRDefault="00B4201C" w:rsidP="00C761E8">
            <w:pPr>
              <w:spacing w:before="120" w:after="12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t xml:space="preserve">Źródła finansowania </w:t>
            </w:r>
          </w:p>
        </w:tc>
        <w:tc>
          <w:tcPr>
            <w:tcW w:w="9348" w:type="dxa"/>
            <w:gridSpan w:val="28"/>
            <w:shd w:val="clear" w:color="auto" w:fill="FFFFFF"/>
            <w:vAlign w:val="center"/>
          </w:tcPr>
          <w:p w14:paraId="21F5AA50" w14:textId="77777777" w:rsidR="00B33D36" w:rsidRDefault="00B33D36" w:rsidP="00B33D36">
            <w:pPr>
              <w:spacing w:after="0" w:line="240" w:lineRule="auto"/>
              <w:jc w:val="both"/>
              <w:rPr>
                <w:rFonts w:ascii="Times New Roman" w:eastAsia="Calibri" w:hAnsi="Times New Roman" w:cs="Times New Roman"/>
                <w:color w:val="000000"/>
              </w:rPr>
            </w:pPr>
            <w:r>
              <w:rPr>
                <w:rFonts w:ascii="Times New Roman" w:hAnsi="Times New Roman"/>
                <w:color w:val="000000"/>
              </w:rPr>
              <w:t>Projektowana zmiana nie będzie miała wpływu na budżet państwa i budżety jednostek samorządu terytorialnego. Będzie miała wpływ na budżet Narodowego Funduszu Zdrowia.</w:t>
            </w:r>
          </w:p>
          <w:p w14:paraId="5E0E11C3" w14:textId="5BA865D3" w:rsidR="00C84EA5" w:rsidRPr="00442C01" w:rsidRDefault="00C84EA5" w:rsidP="00961053">
            <w:pPr>
              <w:spacing w:before="120" w:after="120" w:line="240" w:lineRule="auto"/>
              <w:jc w:val="both"/>
              <w:rPr>
                <w:rFonts w:ascii="Times New Roman" w:eastAsia="Calibri" w:hAnsi="Times New Roman" w:cs="Times New Roman"/>
                <w:color w:val="000000"/>
              </w:rPr>
            </w:pPr>
            <w:r w:rsidRPr="00C84EA5">
              <w:rPr>
                <w:rFonts w:ascii="Times New Roman" w:eastAsia="Calibri" w:hAnsi="Times New Roman" w:cs="Times New Roman"/>
                <w:color w:val="000000"/>
              </w:rPr>
              <w:t>Wygospodarowanie środków w ramach budżetu Narodowego Funduszu Zdrowia nastąpi przez zmianę alokacji środków przeznaczonych na finansowanie świadczeń gwarantowanych.</w:t>
            </w:r>
          </w:p>
        </w:tc>
      </w:tr>
      <w:tr w:rsidR="00B4201C" w:rsidRPr="00442C01" w14:paraId="5EA9AA21" w14:textId="77777777" w:rsidTr="00B17DC3">
        <w:trPr>
          <w:gridAfter w:val="1"/>
          <w:wAfter w:w="10" w:type="dxa"/>
          <w:trHeight w:val="1271"/>
        </w:trPr>
        <w:tc>
          <w:tcPr>
            <w:tcW w:w="1589" w:type="dxa"/>
            <w:shd w:val="clear" w:color="auto" w:fill="FFFFFF"/>
          </w:tcPr>
          <w:p w14:paraId="253A8AC9" w14:textId="77777777" w:rsidR="00B4201C" w:rsidRPr="00442C01" w:rsidRDefault="00B4201C" w:rsidP="00C761E8">
            <w:pPr>
              <w:spacing w:before="120" w:after="12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t>Dodatkowe informacje, w tym wskazanie źródeł danych i przyjętych do obliczeń założeń</w:t>
            </w:r>
          </w:p>
        </w:tc>
        <w:tc>
          <w:tcPr>
            <w:tcW w:w="9348" w:type="dxa"/>
            <w:gridSpan w:val="28"/>
            <w:shd w:val="clear" w:color="auto" w:fill="FFFFFF"/>
          </w:tcPr>
          <w:p w14:paraId="51EB13E4" w14:textId="77777777" w:rsidR="00BF3A25" w:rsidRDefault="00C84EA5" w:rsidP="00BF3A25">
            <w:pPr>
              <w:spacing w:before="120" w:after="12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 xml:space="preserve">Wpływ zakwalifikowania świadczeń opieki zdrowotnej jako świadczeń gwarantowanych na budżet Narodowego Funduszu Zdrowia został </w:t>
            </w:r>
            <w:r w:rsidR="00BF3A25">
              <w:rPr>
                <w:rFonts w:ascii="Times New Roman" w:eastAsia="Calibri" w:hAnsi="Times New Roman" w:cs="Times New Roman"/>
                <w:lang w:eastAsia="pl-PL"/>
              </w:rPr>
              <w:t>oszacowany na podstawie Rekomendacji Prezesa Agencji Oceny Techn</w:t>
            </w:r>
            <w:r w:rsidR="00CA66B0">
              <w:rPr>
                <w:rFonts w:ascii="Times New Roman" w:eastAsia="Calibri" w:hAnsi="Times New Roman" w:cs="Times New Roman"/>
                <w:lang w:eastAsia="pl-PL"/>
              </w:rPr>
              <w:t>ologii Medycznych i Taryfikacji.</w:t>
            </w:r>
          </w:p>
          <w:p w14:paraId="4266E79F" w14:textId="77777777" w:rsidR="00BF3A25" w:rsidRDefault="00BF3A25" w:rsidP="00BF3A25">
            <w:pPr>
              <w:spacing w:before="120" w:after="12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 xml:space="preserve">Wpływ na budżet płatnika w poszczególnych latach dla </w:t>
            </w:r>
            <w:r w:rsidR="00CA66B0">
              <w:rPr>
                <w:rFonts w:ascii="Times New Roman" w:eastAsia="Calibri" w:hAnsi="Times New Roman" w:cs="Times New Roman"/>
                <w:lang w:eastAsia="pl-PL"/>
              </w:rPr>
              <w:t>kolejnych</w:t>
            </w:r>
            <w:r>
              <w:rPr>
                <w:rFonts w:ascii="Times New Roman" w:eastAsia="Calibri" w:hAnsi="Times New Roman" w:cs="Times New Roman"/>
                <w:lang w:eastAsia="pl-PL"/>
              </w:rPr>
              <w:t xml:space="preserve"> świadczeń gwarantowanych:</w:t>
            </w:r>
          </w:p>
          <w:p w14:paraId="00D097C8" w14:textId="77777777" w:rsidR="00BF3A25" w:rsidRPr="000117E1" w:rsidRDefault="00BF3A25" w:rsidP="00B87202">
            <w:pPr>
              <w:pStyle w:val="Akapitzlist"/>
              <w:numPr>
                <w:ilvl w:val="0"/>
                <w:numId w:val="2"/>
              </w:numPr>
              <w:spacing w:before="120" w:after="120" w:line="240" w:lineRule="auto"/>
              <w:jc w:val="both"/>
              <w:rPr>
                <w:rFonts w:ascii="Times New Roman" w:eastAsia="Calibri" w:hAnsi="Times New Roman" w:cs="Times New Roman"/>
                <w:lang w:eastAsia="pl-PL"/>
              </w:rPr>
            </w:pPr>
            <w:r w:rsidRPr="00BF3A25">
              <w:rPr>
                <w:rFonts w:ascii="Times New Roman" w:eastAsia="Times New Roman" w:hAnsi="Times New Roman" w:cs="Times New Roman"/>
                <w:lang w:eastAsia="pl-PL"/>
              </w:rPr>
              <w:t>protezowanie rogówki</w:t>
            </w:r>
            <w:r>
              <w:rPr>
                <w:rFonts w:ascii="Times New Roman" w:eastAsia="Times New Roman" w:hAnsi="Times New Roman" w:cs="Times New Roman"/>
                <w:lang w:eastAsia="pl-PL"/>
              </w:rPr>
              <w:t xml:space="preserve"> – na </w:t>
            </w:r>
            <w:r w:rsidR="00B87202">
              <w:rPr>
                <w:rFonts w:ascii="Times New Roman" w:eastAsia="Times New Roman" w:hAnsi="Times New Roman" w:cs="Times New Roman"/>
                <w:lang w:eastAsia="pl-PL"/>
              </w:rPr>
              <w:t xml:space="preserve">podstawie załącznika nr 2 wykorzystano </w:t>
            </w:r>
            <w:r w:rsidR="00B87202" w:rsidRPr="00B87202">
              <w:rPr>
                <w:rFonts w:ascii="Times New Roman" w:eastAsia="Times New Roman" w:hAnsi="Times New Roman" w:cs="Times New Roman"/>
                <w:lang w:eastAsia="pl-PL"/>
              </w:rPr>
              <w:t>oszacowani</w:t>
            </w:r>
            <w:r w:rsidR="00B87202">
              <w:rPr>
                <w:rFonts w:ascii="Times New Roman" w:eastAsia="Times New Roman" w:hAnsi="Times New Roman" w:cs="Times New Roman"/>
                <w:lang w:eastAsia="pl-PL"/>
              </w:rPr>
              <w:t>e</w:t>
            </w:r>
            <w:r w:rsidR="00B87202" w:rsidRPr="00B87202">
              <w:rPr>
                <w:rFonts w:ascii="Times New Roman" w:eastAsia="Times New Roman" w:hAnsi="Times New Roman" w:cs="Times New Roman"/>
                <w:lang w:eastAsia="pl-PL"/>
              </w:rPr>
              <w:t xml:space="preserve"> własne</w:t>
            </w:r>
            <w:r w:rsidR="00B87202">
              <w:rPr>
                <w:rFonts w:ascii="Times New Roman" w:eastAsia="Times New Roman" w:hAnsi="Times New Roman" w:cs="Times New Roman"/>
                <w:lang w:eastAsia="pl-PL"/>
              </w:rPr>
              <w:t xml:space="preserve"> AOTMiT w zakresie wpływu na budżet płatnika w 1. i 3. roku finansowania na poziomie odpowiednio</w:t>
            </w:r>
            <w:r w:rsidR="00CA66B0">
              <w:rPr>
                <w:rFonts w:ascii="Times New Roman" w:eastAsia="Times New Roman" w:hAnsi="Times New Roman" w:cs="Times New Roman"/>
                <w:lang w:eastAsia="pl-PL"/>
              </w:rPr>
              <w:t>:</w:t>
            </w:r>
            <w:r w:rsidR="00B87202">
              <w:rPr>
                <w:rFonts w:ascii="Times New Roman" w:eastAsia="Times New Roman" w:hAnsi="Times New Roman" w:cs="Times New Roman"/>
                <w:lang w:eastAsia="pl-PL"/>
              </w:rPr>
              <w:t xml:space="preserve"> 0,39 mln i 1,17 mln; dla 2. roku finasowania przyjęto wartość 0,78 mln stanowiącą wartość pośrednią między </w:t>
            </w:r>
            <w:r w:rsidR="000117E1">
              <w:rPr>
                <w:rFonts w:ascii="Times New Roman" w:eastAsia="Times New Roman" w:hAnsi="Times New Roman" w:cs="Times New Roman"/>
                <w:lang w:eastAsia="pl-PL"/>
              </w:rPr>
              <w:t>wydatkami w 1. i 3. roku finansowania. Dla lat kolejnych przyjęto wydatki na poziomie 1,17 mln</w:t>
            </w:r>
            <w:r w:rsidR="004C257A">
              <w:rPr>
                <w:rFonts w:ascii="Times New Roman" w:eastAsia="Times New Roman" w:hAnsi="Times New Roman" w:cs="Times New Roman"/>
                <w:lang w:eastAsia="pl-PL"/>
              </w:rPr>
              <w:t>;</w:t>
            </w:r>
          </w:p>
          <w:p w14:paraId="5D5B7F0A" w14:textId="77777777" w:rsidR="000117E1" w:rsidRPr="000117E1" w:rsidRDefault="000117E1" w:rsidP="00B87202">
            <w:pPr>
              <w:pStyle w:val="Akapitzlist"/>
              <w:numPr>
                <w:ilvl w:val="0"/>
                <w:numId w:val="2"/>
              </w:numPr>
              <w:spacing w:before="120" w:after="120" w:line="240" w:lineRule="auto"/>
              <w:jc w:val="both"/>
              <w:rPr>
                <w:rFonts w:ascii="Times New Roman" w:eastAsia="Calibri" w:hAnsi="Times New Roman" w:cs="Times New Roman"/>
                <w:lang w:eastAsia="pl-PL"/>
              </w:rPr>
            </w:pPr>
            <w:r w:rsidRPr="000117E1">
              <w:rPr>
                <w:rFonts w:ascii="Times New Roman" w:eastAsia="Times New Roman" w:hAnsi="Times New Roman" w:cs="Times New Roman"/>
                <w:lang w:eastAsia="pl-PL"/>
              </w:rPr>
              <w:t>leczenie restenozy naczyń wieńcowych za pomocą balonu uwalniającego lek</w:t>
            </w:r>
            <w:r>
              <w:rPr>
                <w:rFonts w:ascii="Times New Roman" w:eastAsia="Times New Roman" w:hAnsi="Times New Roman" w:cs="Times New Roman"/>
                <w:lang w:eastAsia="pl-PL"/>
              </w:rPr>
              <w:t xml:space="preserve"> – na podstawie załącznika nr 3 przyjęto wpływ na budżet płatniku i 1. i 2. roku finansowania świadczenia odpowiednio na poziomie</w:t>
            </w:r>
            <w:r w:rsidR="001826D2">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14,5 mln i 15 mln; dla lat kolejnych przyjęto wydatki na poziomie 15 mln</w:t>
            </w:r>
            <w:r w:rsidR="004C257A">
              <w:rPr>
                <w:rFonts w:ascii="Times New Roman" w:eastAsia="Times New Roman" w:hAnsi="Times New Roman" w:cs="Times New Roman"/>
                <w:lang w:eastAsia="pl-PL"/>
              </w:rPr>
              <w:t>;</w:t>
            </w:r>
          </w:p>
          <w:p w14:paraId="1A2582FF" w14:textId="77777777" w:rsidR="000117E1" w:rsidRPr="000117E1" w:rsidRDefault="000117E1" w:rsidP="000117E1">
            <w:pPr>
              <w:pStyle w:val="Akapitzlist"/>
              <w:numPr>
                <w:ilvl w:val="0"/>
                <w:numId w:val="2"/>
              </w:numPr>
              <w:spacing w:before="120" w:after="120" w:line="240" w:lineRule="auto"/>
              <w:jc w:val="both"/>
              <w:rPr>
                <w:rFonts w:ascii="Times New Roman" w:eastAsia="Calibri" w:hAnsi="Times New Roman" w:cs="Times New Roman"/>
                <w:lang w:eastAsia="pl-PL"/>
              </w:rPr>
            </w:pPr>
            <w:r w:rsidRPr="000117E1">
              <w:rPr>
                <w:rFonts w:ascii="Times New Roman" w:eastAsia="Calibri" w:hAnsi="Times New Roman" w:cs="Times New Roman"/>
                <w:lang w:eastAsia="pl-PL"/>
              </w:rPr>
              <w:t>wprowadzenie protezy metalowej do moczowodu albo cewki moczowej</w:t>
            </w:r>
            <w:r>
              <w:rPr>
                <w:rFonts w:ascii="Times New Roman" w:eastAsia="Calibri" w:hAnsi="Times New Roman" w:cs="Times New Roman"/>
                <w:lang w:eastAsia="pl-PL"/>
              </w:rPr>
              <w:t xml:space="preserve"> – na podstawie załącznika nr 4 </w:t>
            </w:r>
            <w:r>
              <w:rPr>
                <w:rFonts w:ascii="Times New Roman" w:eastAsia="Times New Roman" w:hAnsi="Times New Roman" w:cs="Times New Roman"/>
                <w:lang w:eastAsia="pl-PL"/>
              </w:rPr>
              <w:t>przyjęto</w:t>
            </w:r>
            <w:r w:rsidR="00CA66B0">
              <w:rPr>
                <w:rFonts w:ascii="Times New Roman" w:eastAsia="Times New Roman" w:hAnsi="Times New Roman" w:cs="Times New Roman"/>
                <w:lang w:eastAsia="pl-PL"/>
              </w:rPr>
              <w:t xml:space="preserve"> coroczny</w:t>
            </w:r>
            <w:r>
              <w:rPr>
                <w:rFonts w:ascii="Times New Roman" w:eastAsia="Times New Roman" w:hAnsi="Times New Roman" w:cs="Times New Roman"/>
                <w:lang w:eastAsia="pl-PL"/>
              </w:rPr>
              <w:t xml:space="preserve"> wpływ na budżet płatniku na poziomie 0,2 mln</w:t>
            </w:r>
            <w:r w:rsidR="004C257A">
              <w:rPr>
                <w:rFonts w:ascii="Times New Roman" w:eastAsia="Times New Roman" w:hAnsi="Times New Roman" w:cs="Times New Roman"/>
                <w:lang w:eastAsia="pl-PL"/>
              </w:rPr>
              <w:t>;</w:t>
            </w:r>
          </w:p>
          <w:p w14:paraId="2C1F1FD8" w14:textId="77777777" w:rsidR="00761362" w:rsidRPr="000117E1" w:rsidRDefault="000117E1" w:rsidP="00761362">
            <w:pPr>
              <w:pStyle w:val="Akapitzlist"/>
              <w:numPr>
                <w:ilvl w:val="0"/>
                <w:numId w:val="2"/>
              </w:numPr>
              <w:spacing w:before="120" w:after="12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n</w:t>
            </w:r>
            <w:r w:rsidRPr="000117E1">
              <w:rPr>
                <w:rFonts w:ascii="Times New Roman" w:eastAsia="Calibri" w:hAnsi="Times New Roman" w:cs="Times New Roman"/>
                <w:lang w:eastAsia="pl-PL"/>
              </w:rPr>
              <w:t>euromodulacja krzyżowa w leczeniu zaburzeń czynności dolnych dróg moczowych</w:t>
            </w:r>
            <w:r w:rsidR="00542169">
              <w:rPr>
                <w:rFonts w:ascii="Times New Roman" w:eastAsia="Calibri" w:hAnsi="Times New Roman" w:cs="Times New Roman"/>
                <w:lang w:eastAsia="pl-PL"/>
              </w:rPr>
              <w:t xml:space="preserve"> – na podstawie załącznika nr 5 </w:t>
            </w:r>
            <w:r w:rsidR="00542169">
              <w:rPr>
                <w:rFonts w:ascii="Times New Roman" w:eastAsia="Times New Roman" w:hAnsi="Times New Roman" w:cs="Times New Roman"/>
                <w:lang w:eastAsia="pl-PL"/>
              </w:rPr>
              <w:t>wykorzystano obliczenia</w:t>
            </w:r>
            <w:r w:rsidR="00761362">
              <w:rPr>
                <w:rFonts w:ascii="Times New Roman" w:eastAsia="Times New Roman" w:hAnsi="Times New Roman" w:cs="Times New Roman"/>
                <w:lang w:eastAsia="pl-PL"/>
              </w:rPr>
              <w:t xml:space="preserve"> wpływu na budżet płatnika</w:t>
            </w:r>
            <w:r w:rsidR="00542169" w:rsidRPr="00B87202">
              <w:rPr>
                <w:rFonts w:ascii="Times New Roman" w:eastAsia="Times New Roman" w:hAnsi="Times New Roman" w:cs="Times New Roman"/>
                <w:lang w:eastAsia="pl-PL"/>
              </w:rPr>
              <w:t xml:space="preserve"> </w:t>
            </w:r>
            <w:r w:rsidR="00542169">
              <w:rPr>
                <w:rFonts w:ascii="Times New Roman" w:eastAsia="Times New Roman" w:hAnsi="Times New Roman" w:cs="Times New Roman"/>
                <w:lang w:eastAsia="pl-PL"/>
              </w:rPr>
              <w:t xml:space="preserve">uwzględniające populację pacjentów opartą na opinii ekspertów klinicznych w 1. i </w:t>
            </w:r>
            <w:r w:rsidR="00761362">
              <w:rPr>
                <w:rFonts w:ascii="Times New Roman" w:eastAsia="Times New Roman" w:hAnsi="Times New Roman" w:cs="Times New Roman"/>
                <w:lang w:eastAsia="pl-PL"/>
              </w:rPr>
              <w:t>2</w:t>
            </w:r>
            <w:r w:rsidR="00542169">
              <w:rPr>
                <w:rFonts w:ascii="Times New Roman" w:eastAsia="Times New Roman" w:hAnsi="Times New Roman" w:cs="Times New Roman"/>
                <w:lang w:eastAsia="pl-PL"/>
              </w:rPr>
              <w:t xml:space="preserve">. roku finansowania na poziomie </w:t>
            </w:r>
            <w:r w:rsidR="00761362">
              <w:rPr>
                <w:rFonts w:ascii="Times New Roman" w:eastAsia="Times New Roman" w:hAnsi="Times New Roman" w:cs="Times New Roman"/>
                <w:lang w:eastAsia="pl-PL"/>
              </w:rPr>
              <w:t>odpowiednio</w:t>
            </w:r>
            <w:r w:rsidR="00CA66B0">
              <w:rPr>
                <w:rFonts w:ascii="Times New Roman" w:eastAsia="Times New Roman" w:hAnsi="Times New Roman" w:cs="Times New Roman"/>
                <w:lang w:eastAsia="pl-PL"/>
              </w:rPr>
              <w:t>:</w:t>
            </w:r>
            <w:r w:rsidR="00761362">
              <w:rPr>
                <w:rFonts w:ascii="Times New Roman" w:eastAsia="Times New Roman" w:hAnsi="Times New Roman" w:cs="Times New Roman"/>
                <w:lang w:eastAsia="pl-PL"/>
              </w:rPr>
              <w:t xml:space="preserve"> 4,61 mln i 4,51</w:t>
            </w:r>
            <w:r w:rsidR="00542169">
              <w:rPr>
                <w:rFonts w:ascii="Times New Roman" w:eastAsia="Times New Roman" w:hAnsi="Times New Roman" w:cs="Times New Roman"/>
                <w:lang w:eastAsia="pl-PL"/>
              </w:rPr>
              <w:t xml:space="preserve"> mln</w:t>
            </w:r>
            <w:r w:rsidR="00761362">
              <w:rPr>
                <w:rFonts w:ascii="Times New Roman" w:eastAsia="Times New Roman" w:hAnsi="Times New Roman" w:cs="Times New Roman"/>
                <w:lang w:eastAsia="pl-PL"/>
              </w:rPr>
              <w:t>; dla lat kolejnych przyjęto wydatki na poziomie 4,51 mln</w:t>
            </w:r>
            <w:r w:rsidR="004C257A">
              <w:rPr>
                <w:rFonts w:ascii="Times New Roman" w:eastAsia="Times New Roman" w:hAnsi="Times New Roman" w:cs="Times New Roman"/>
                <w:lang w:eastAsia="pl-PL"/>
              </w:rPr>
              <w:t>;</w:t>
            </w:r>
          </w:p>
          <w:p w14:paraId="41156594" w14:textId="77777777" w:rsidR="000117E1" w:rsidRPr="00542169" w:rsidRDefault="00CA66B0" w:rsidP="000117E1">
            <w:pPr>
              <w:pStyle w:val="Akapitzlist"/>
              <w:numPr>
                <w:ilvl w:val="0"/>
                <w:numId w:val="2"/>
              </w:numPr>
              <w:spacing w:before="120" w:after="120" w:line="240" w:lineRule="auto"/>
              <w:jc w:val="both"/>
              <w:rPr>
                <w:rFonts w:ascii="Times New Roman" w:eastAsia="Calibri" w:hAnsi="Times New Roman" w:cs="Times New Roman"/>
                <w:lang w:eastAsia="pl-PL"/>
              </w:rPr>
            </w:pPr>
            <w:r>
              <w:rPr>
                <w:rFonts w:ascii="Times New Roman" w:eastAsia="Times New Roman" w:hAnsi="Times New Roman" w:cs="Times New Roman"/>
                <w:lang w:eastAsia="pl-PL"/>
              </w:rPr>
              <w:t>leczenie chirurgiczne z zastosowaniem systemu robotowego – na postawie załączników 6-9 oraz raportów analitycznych AO</w:t>
            </w:r>
            <w:r w:rsidR="001826D2">
              <w:rPr>
                <w:rFonts w:ascii="Times New Roman" w:eastAsia="Times New Roman" w:hAnsi="Times New Roman" w:cs="Times New Roman"/>
                <w:lang w:eastAsia="pl-PL"/>
              </w:rPr>
              <w:t>TMiT przygotowanych na potrzebę wydania Rekomendacji Prezesa w sprawie zakwalifikowania przedmiotowego świadczenia oszacowano łączny wpływ na budżet płatnika dla trzech wskazań dla 1., 2. i 3. roku finansowania świadczenia odpowiednio na poziomie: 3,4 mln, 3,65 mln, 4,24 mln; dla lat kolejnych przyjęto wydatki na poziomie 4,24 mln</w:t>
            </w:r>
            <w:r w:rsidR="004C257A">
              <w:rPr>
                <w:rFonts w:ascii="Times New Roman" w:eastAsia="Times New Roman" w:hAnsi="Times New Roman" w:cs="Times New Roman"/>
                <w:lang w:eastAsia="pl-PL"/>
              </w:rPr>
              <w:t>;</w:t>
            </w:r>
            <w:r w:rsidR="001826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p>
          <w:p w14:paraId="6CE6BCE0" w14:textId="77777777" w:rsidR="00B4201C" w:rsidRDefault="001826D2" w:rsidP="001826D2">
            <w:pPr>
              <w:pStyle w:val="Akapitzlist"/>
              <w:numPr>
                <w:ilvl w:val="0"/>
                <w:numId w:val="2"/>
              </w:numPr>
              <w:spacing w:before="120" w:after="120" w:line="240" w:lineRule="auto"/>
              <w:rPr>
                <w:rFonts w:ascii="Times New Roman" w:eastAsia="Calibri" w:hAnsi="Times New Roman" w:cs="Times New Roman"/>
              </w:rPr>
            </w:pPr>
            <w:r>
              <w:rPr>
                <w:rFonts w:ascii="Times New Roman" w:eastAsia="Times New Roman" w:hAnsi="Times New Roman" w:cs="Times New Roman"/>
                <w:lang w:eastAsia="pl-PL"/>
              </w:rPr>
              <w:t>c</w:t>
            </w:r>
            <w:r w:rsidRPr="001826D2">
              <w:rPr>
                <w:rFonts w:ascii="Times New Roman" w:eastAsia="Times New Roman" w:hAnsi="Times New Roman" w:cs="Times New Roman"/>
                <w:lang w:eastAsia="pl-PL"/>
              </w:rPr>
              <w:t>hirurgiczne leczenie otyłości</w:t>
            </w:r>
            <w:r w:rsidR="00BF3A25" w:rsidRPr="001826D2">
              <w:rPr>
                <w:rFonts w:ascii="Times New Roman" w:eastAsia="Calibri" w:hAnsi="Times New Roman" w:cs="Times New Roman"/>
                <w:lang w:eastAsia="pl-PL"/>
              </w:rPr>
              <w:t xml:space="preserve"> </w:t>
            </w:r>
            <w:r w:rsidR="007067E7">
              <w:rPr>
                <w:rFonts w:ascii="Times New Roman" w:eastAsia="Calibri" w:hAnsi="Times New Roman" w:cs="Times New Roman"/>
                <w:lang w:eastAsia="pl-PL"/>
              </w:rPr>
              <w:t>– na podstawie załącznika nr 10 przyjęto coroczny wpływ na budżet płatnika na poziomie 5,9 mln</w:t>
            </w:r>
            <w:r w:rsidR="004C257A">
              <w:rPr>
                <w:rFonts w:ascii="Times New Roman" w:eastAsia="Calibri" w:hAnsi="Times New Roman" w:cs="Times New Roman"/>
                <w:lang w:eastAsia="pl-PL"/>
              </w:rPr>
              <w:t>;</w:t>
            </w:r>
          </w:p>
          <w:p w14:paraId="6AE8BC9B" w14:textId="77777777" w:rsidR="007067E7" w:rsidRPr="004C257A" w:rsidRDefault="007067E7" w:rsidP="000916D8">
            <w:pPr>
              <w:pStyle w:val="Akapitzlist"/>
              <w:numPr>
                <w:ilvl w:val="0"/>
                <w:numId w:val="2"/>
              </w:numPr>
              <w:spacing w:before="120" w:after="120" w:line="240" w:lineRule="auto"/>
              <w:jc w:val="both"/>
              <w:rPr>
                <w:rFonts w:ascii="Times New Roman" w:eastAsia="Calibri" w:hAnsi="Times New Roman" w:cs="Times New Roman"/>
                <w:lang w:eastAsia="pl-PL"/>
              </w:rPr>
            </w:pPr>
            <w:r w:rsidRPr="007067E7">
              <w:rPr>
                <w:rFonts w:ascii="Times New Roman" w:eastAsia="Times New Roman" w:hAnsi="Times New Roman" w:cs="Times New Roman"/>
                <w:lang w:eastAsia="pl-PL"/>
              </w:rPr>
              <w:t>terapia łączona mechanicznego udrażniania tętnic z</w:t>
            </w:r>
            <w:r>
              <w:rPr>
                <w:rFonts w:ascii="Times New Roman" w:eastAsia="Times New Roman" w:hAnsi="Times New Roman" w:cs="Times New Roman"/>
                <w:lang w:eastAsia="pl-PL"/>
              </w:rPr>
              <w:t> </w:t>
            </w:r>
            <w:r w:rsidRPr="007067E7">
              <w:rPr>
                <w:rFonts w:ascii="Times New Roman" w:eastAsia="Times New Roman" w:hAnsi="Times New Roman" w:cs="Times New Roman"/>
                <w:lang w:eastAsia="pl-PL"/>
              </w:rPr>
              <w:t>podaniem leku fibrynolitycznego w ostrej fazie udaru niedokrwiennego</w:t>
            </w:r>
            <w:r w:rsidR="000916D8">
              <w:rPr>
                <w:rFonts w:ascii="Times New Roman" w:eastAsia="Times New Roman" w:hAnsi="Times New Roman" w:cs="Times New Roman"/>
                <w:lang w:eastAsia="pl-PL"/>
              </w:rPr>
              <w:t xml:space="preserve"> -  na podstawie załącznika nr 11 przyjęto wpływ na budżet płatniku i 1. i 2. roku finansowania świadczenia odpowiednio na poziomie: 11,4 mln i 25 mln; dla lat kolejnych przyjęto wydatki na poziomie 25 mln</w:t>
            </w:r>
            <w:r w:rsidR="004C257A">
              <w:rPr>
                <w:rFonts w:ascii="Times New Roman" w:eastAsia="Times New Roman" w:hAnsi="Times New Roman" w:cs="Times New Roman"/>
                <w:lang w:eastAsia="pl-PL"/>
              </w:rPr>
              <w:t>;</w:t>
            </w:r>
          </w:p>
          <w:p w14:paraId="7D98816A" w14:textId="4513DF37" w:rsidR="004C257A" w:rsidRPr="004C257A" w:rsidRDefault="004C257A" w:rsidP="00961053">
            <w:pPr>
              <w:spacing w:before="120" w:after="12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Ze względu na planowany termin wejścia w życie rozporządzenia (1 marca 2018 r.) wpływ na budżet płatnika w roku 0 został oszacowany przez pomnożenie ww. kwot</w:t>
            </w:r>
            <w:r w:rsidR="00961053">
              <w:rPr>
                <w:rFonts w:ascii="Times New Roman" w:eastAsia="Calibri" w:hAnsi="Times New Roman" w:cs="Times New Roman"/>
                <w:lang w:eastAsia="pl-PL"/>
              </w:rPr>
              <w:t>y</w:t>
            </w:r>
            <w:r>
              <w:rPr>
                <w:rFonts w:ascii="Times New Roman" w:eastAsia="Calibri" w:hAnsi="Times New Roman" w:cs="Times New Roman"/>
                <w:lang w:eastAsia="pl-PL"/>
              </w:rPr>
              <w:t xml:space="preserve"> wpływu na budżet w pierwszym roku finansowania świadczeń przez 0,75.</w:t>
            </w:r>
          </w:p>
        </w:tc>
      </w:tr>
      <w:tr w:rsidR="00B4201C" w:rsidRPr="00442C01" w14:paraId="033B3023" w14:textId="77777777" w:rsidTr="00B17DC3">
        <w:trPr>
          <w:gridAfter w:val="1"/>
          <w:wAfter w:w="10" w:type="dxa"/>
          <w:trHeight w:val="345"/>
        </w:trPr>
        <w:tc>
          <w:tcPr>
            <w:tcW w:w="10937" w:type="dxa"/>
            <w:gridSpan w:val="29"/>
            <w:shd w:val="clear" w:color="auto" w:fill="99CCFF"/>
          </w:tcPr>
          <w:p w14:paraId="2DF0A01C" w14:textId="77777777" w:rsidR="00B4201C" w:rsidRPr="00442C01" w:rsidRDefault="00B4201C" w:rsidP="00C761E8">
            <w:pPr>
              <w:numPr>
                <w:ilvl w:val="0"/>
                <w:numId w:val="1"/>
              </w:numPr>
              <w:spacing w:before="120" w:after="120" w:line="240" w:lineRule="auto"/>
              <w:jc w:val="both"/>
              <w:rPr>
                <w:rFonts w:ascii="Times New Roman" w:eastAsia="Calibri" w:hAnsi="Times New Roman" w:cs="Times New Roman"/>
                <w:b/>
                <w:color w:val="000000"/>
                <w:spacing w:val="-2"/>
              </w:rPr>
            </w:pPr>
            <w:r w:rsidRPr="00442C01">
              <w:rPr>
                <w:rFonts w:ascii="Times New Roman" w:eastAsia="Calibri" w:hAnsi="Times New Roman" w:cs="Times New Roman"/>
                <w:b/>
                <w:color w:val="000000"/>
                <w:spacing w:val="-2"/>
              </w:rPr>
              <w:t xml:space="preserve">Wpływ na </w:t>
            </w:r>
            <w:r w:rsidRPr="00442C01">
              <w:rPr>
                <w:rFonts w:ascii="Times New Roman" w:eastAsia="Calibri" w:hAnsi="Times New Roman" w:cs="Times New Roman"/>
                <w:b/>
                <w:color w:val="000000"/>
              </w:rPr>
              <w:t xml:space="preserve">konkurencyjność gospodarki i przedsiębiorczość, w tym funkcjonowanie przedsiębiorców oraz na rodzinę, obywateli i gospodarstwa domowe </w:t>
            </w:r>
          </w:p>
        </w:tc>
      </w:tr>
      <w:tr w:rsidR="00B4201C" w:rsidRPr="00442C01" w14:paraId="25261238" w14:textId="77777777" w:rsidTr="00B17DC3">
        <w:trPr>
          <w:gridAfter w:val="1"/>
          <w:wAfter w:w="10" w:type="dxa"/>
          <w:trHeight w:val="142"/>
        </w:trPr>
        <w:tc>
          <w:tcPr>
            <w:tcW w:w="10937" w:type="dxa"/>
            <w:gridSpan w:val="29"/>
            <w:shd w:val="clear" w:color="auto" w:fill="FFFFFF"/>
          </w:tcPr>
          <w:p w14:paraId="10B259A7" w14:textId="77777777" w:rsidR="00B4201C" w:rsidRPr="00442C01" w:rsidRDefault="00B4201C" w:rsidP="00C761E8">
            <w:pPr>
              <w:spacing w:before="120" w:after="120" w:line="240" w:lineRule="auto"/>
              <w:jc w:val="center"/>
              <w:rPr>
                <w:rFonts w:ascii="Times New Roman" w:eastAsia="Calibri" w:hAnsi="Times New Roman" w:cs="Times New Roman"/>
                <w:color w:val="000000"/>
                <w:spacing w:val="-2"/>
              </w:rPr>
            </w:pPr>
            <w:r w:rsidRPr="00442C01">
              <w:rPr>
                <w:rFonts w:ascii="Times New Roman" w:eastAsia="Calibri" w:hAnsi="Times New Roman" w:cs="Times New Roman"/>
                <w:color w:val="000000"/>
                <w:spacing w:val="-2"/>
              </w:rPr>
              <w:t>Skutki</w:t>
            </w:r>
          </w:p>
        </w:tc>
      </w:tr>
      <w:tr w:rsidR="00B4201C" w:rsidRPr="00442C01" w14:paraId="0DEA6F10" w14:textId="77777777" w:rsidTr="00B17DC3">
        <w:trPr>
          <w:gridAfter w:val="1"/>
          <w:wAfter w:w="10" w:type="dxa"/>
          <w:trHeight w:val="142"/>
        </w:trPr>
        <w:tc>
          <w:tcPr>
            <w:tcW w:w="3889" w:type="dxa"/>
            <w:gridSpan w:val="8"/>
            <w:shd w:val="clear" w:color="auto" w:fill="FFFFFF"/>
            <w:vAlign w:val="center"/>
          </w:tcPr>
          <w:p w14:paraId="4095C1D0" w14:textId="77777777" w:rsidR="00B4201C" w:rsidRPr="00442C01" w:rsidRDefault="00B4201C" w:rsidP="005A3B1E">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color w:val="000000"/>
              </w:rPr>
              <w:t>Czas w latach od wejścia w życie zmian</w:t>
            </w:r>
          </w:p>
        </w:tc>
        <w:tc>
          <w:tcPr>
            <w:tcW w:w="937" w:type="dxa"/>
            <w:gridSpan w:val="2"/>
            <w:shd w:val="clear" w:color="auto" w:fill="FFFFFF"/>
            <w:vAlign w:val="center"/>
          </w:tcPr>
          <w:p w14:paraId="4C392FBD" w14:textId="77777777" w:rsidR="00B4201C" w:rsidRPr="00442C01" w:rsidRDefault="00B4201C" w:rsidP="005A3B1E">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color w:val="000000"/>
              </w:rPr>
              <w:t>0</w:t>
            </w:r>
          </w:p>
        </w:tc>
        <w:tc>
          <w:tcPr>
            <w:tcW w:w="938" w:type="dxa"/>
            <w:gridSpan w:val="5"/>
            <w:shd w:val="clear" w:color="auto" w:fill="FFFFFF"/>
            <w:vAlign w:val="center"/>
          </w:tcPr>
          <w:p w14:paraId="48E94412" w14:textId="77777777" w:rsidR="00B4201C" w:rsidRPr="00442C01" w:rsidRDefault="00B4201C" w:rsidP="005A3B1E">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color w:val="000000"/>
              </w:rPr>
              <w:t>1</w:t>
            </w:r>
          </w:p>
        </w:tc>
        <w:tc>
          <w:tcPr>
            <w:tcW w:w="938" w:type="dxa"/>
            <w:gridSpan w:val="3"/>
            <w:shd w:val="clear" w:color="auto" w:fill="FFFFFF"/>
            <w:vAlign w:val="center"/>
          </w:tcPr>
          <w:p w14:paraId="37E53B49" w14:textId="77777777" w:rsidR="00B4201C" w:rsidRPr="00442C01" w:rsidRDefault="00B4201C" w:rsidP="005A3B1E">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color w:val="000000"/>
              </w:rPr>
              <w:t>2</w:t>
            </w:r>
          </w:p>
        </w:tc>
        <w:tc>
          <w:tcPr>
            <w:tcW w:w="937" w:type="dxa"/>
            <w:gridSpan w:val="4"/>
            <w:shd w:val="clear" w:color="auto" w:fill="FFFFFF"/>
            <w:vAlign w:val="center"/>
          </w:tcPr>
          <w:p w14:paraId="702023B4" w14:textId="77777777" w:rsidR="00B4201C" w:rsidRPr="00442C01" w:rsidRDefault="00B4201C" w:rsidP="005A3B1E">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color w:val="000000"/>
              </w:rPr>
              <w:t>3</w:t>
            </w:r>
          </w:p>
        </w:tc>
        <w:tc>
          <w:tcPr>
            <w:tcW w:w="938" w:type="dxa"/>
            <w:gridSpan w:val="3"/>
            <w:shd w:val="clear" w:color="auto" w:fill="FFFFFF"/>
            <w:vAlign w:val="center"/>
          </w:tcPr>
          <w:p w14:paraId="1C069579" w14:textId="77777777" w:rsidR="00B4201C" w:rsidRPr="00442C01" w:rsidRDefault="00B4201C" w:rsidP="005A3B1E">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color w:val="000000"/>
              </w:rPr>
              <w:t>5</w:t>
            </w:r>
          </w:p>
        </w:tc>
        <w:tc>
          <w:tcPr>
            <w:tcW w:w="938" w:type="dxa"/>
            <w:gridSpan w:val="2"/>
            <w:shd w:val="clear" w:color="auto" w:fill="FFFFFF"/>
            <w:vAlign w:val="center"/>
          </w:tcPr>
          <w:p w14:paraId="43A0F7C8" w14:textId="77777777" w:rsidR="00B4201C" w:rsidRPr="00442C01" w:rsidRDefault="00B4201C" w:rsidP="005A3B1E">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color w:val="000000"/>
              </w:rPr>
              <w:t>10</w:t>
            </w:r>
          </w:p>
        </w:tc>
        <w:tc>
          <w:tcPr>
            <w:tcW w:w="1422" w:type="dxa"/>
            <w:gridSpan w:val="2"/>
            <w:shd w:val="clear" w:color="auto" w:fill="FFFFFF"/>
            <w:vAlign w:val="center"/>
          </w:tcPr>
          <w:p w14:paraId="114E8FAC" w14:textId="77777777" w:rsidR="00B4201C" w:rsidRPr="00442C01" w:rsidRDefault="00B4201C" w:rsidP="005A3B1E">
            <w:pPr>
              <w:spacing w:after="0" w:line="240" w:lineRule="auto"/>
              <w:jc w:val="center"/>
              <w:rPr>
                <w:rFonts w:ascii="Times New Roman" w:eastAsia="Calibri" w:hAnsi="Times New Roman" w:cs="Times New Roman"/>
                <w:i/>
                <w:color w:val="000000"/>
                <w:spacing w:val="-2"/>
              </w:rPr>
            </w:pPr>
            <w:r w:rsidRPr="00442C01">
              <w:rPr>
                <w:rFonts w:ascii="Times New Roman" w:eastAsia="Calibri" w:hAnsi="Times New Roman" w:cs="Times New Roman"/>
                <w:i/>
                <w:color w:val="000000"/>
                <w:spacing w:val="-2"/>
              </w:rPr>
              <w:t>Łącznie</w:t>
            </w:r>
            <w:r w:rsidRPr="00442C01" w:rsidDel="0073273A">
              <w:rPr>
                <w:rFonts w:ascii="Times New Roman" w:eastAsia="Calibri" w:hAnsi="Times New Roman" w:cs="Times New Roman"/>
                <w:i/>
                <w:color w:val="000000"/>
                <w:spacing w:val="-2"/>
              </w:rPr>
              <w:t xml:space="preserve"> </w:t>
            </w:r>
            <w:r w:rsidRPr="00442C01">
              <w:rPr>
                <w:rFonts w:ascii="Times New Roman" w:eastAsia="Calibri" w:hAnsi="Times New Roman" w:cs="Times New Roman"/>
                <w:i/>
                <w:color w:val="000000"/>
                <w:spacing w:val="-2"/>
              </w:rPr>
              <w:t>(0-10)</w:t>
            </w:r>
          </w:p>
        </w:tc>
      </w:tr>
      <w:tr w:rsidR="00B4201C" w:rsidRPr="00442C01" w14:paraId="5728D1B2" w14:textId="77777777" w:rsidTr="00B17DC3">
        <w:trPr>
          <w:gridAfter w:val="1"/>
          <w:wAfter w:w="10" w:type="dxa"/>
          <w:trHeight w:val="142"/>
        </w:trPr>
        <w:tc>
          <w:tcPr>
            <w:tcW w:w="1596" w:type="dxa"/>
            <w:gridSpan w:val="2"/>
            <w:vMerge w:val="restart"/>
            <w:shd w:val="clear" w:color="auto" w:fill="FFFFFF"/>
            <w:vAlign w:val="center"/>
          </w:tcPr>
          <w:p w14:paraId="75B3676A" w14:textId="77777777" w:rsidR="00B4201C" w:rsidRPr="00442C01" w:rsidRDefault="00B4201C" w:rsidP="005A3B1E">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color w:val="000000"/>
              </w:rPr>
              <w:t>W ujęciu pieniężnym</w:t>
            </w:r>
          </w:p>
          <w:p w14:paraId="7E934CF5" w14:textId="77777777" w:rsidR="00B4201C" w:rsidRPr="00442C01" w:rsidRDefault="00B4201C" w:rsidP="005A3B1E">
            <w:pPr>
              <w:spacing w:after="0" w:line="240" w:lineRule="auto"/>
              <w:jc w:val="center"/>
              <w:rPr>
                <w:rFonts w:ascii="Times New Roman" w:eastAsia="Calibri" w:hAnsi="Times New Roman" w:cs="Times New Roman"/>
                <w:spacing w:val="-2"/>
              </w:rPr>
            </w:pPr>
            <w:r w:rsidRPr="00442C01">
              <w:rPr>
                <w:rFonts w:ascii="Times New Roman" w:eastAsia="Calibri" w:hAnsi="Times New Roman" w:cs="Times New Roman"/>
                <w:spacing w:val="-2"/>
              </w:rPr>
              <w:t>(w mln zł,</w:t>
            </w:r>
          </w:p>
          <w:p w14:paraId="73FC5228" w14:textId="77777777" w:rsidR="00B4201C" w:rsidRPr="00442C01" w:rsidRDefault="00B4201C" w:rsidP="005A3B1E">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spacing w:val="-2"/>
              </w:rPr>
              <w:t>ceny stałe z …… r.)</w:t>
            </w:r>
          </w:p>
        </w:tc>
        <w:tc>
          <w:tcPr>
            <w:tcW w:w="2293" w:type="dxa"/>
            <w:gridSpan w:val="6"/>
            <w:shd w:val="clear" w:color="auto" w:fill="FFFFFF"/>
            <w:vAlign w:val="center"/>
          </w:tcPr>
          <w:p w14:paraId="31E8ABD0" w14:textId="77777777" w:rsidR="00B4201C" w:rsidRPr="00442C01" w:rsidRDefault="00B4201C" w:rsidP="005A3B1E">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color w:val="000000"/>
              </w:rPr>
              <w:t>duże przedsiębiorstwa</w:t>
            </w:r>
          </w:p>
        </w:tc>
        <w:tc>
          <w:tcPr>
            <w:tcW w:w="937" w:type="dxa"/>
            <w:gridSpan w:val="2"/>
            <w:shd w:val="clear" w:color="auto" w:fill="FFFFFF"/>
            <w:vAlign w:val="center"/>
          </w:tcPr>
          <w:p w14:paraId="461417F7" w14:textId="77777777" w:rsidR="00B4201C" w:rsidRPr="00442C01" w:rsidRDefault="005A3B1E" w:rsidP="005A3B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5"/>
            <w:shd w:val="clear" w:color="auto" w:fill="FFFFFF"/>
            <w:vAlign w:val="center"/>
          </w:tcPr>
          <w:p w14:paraId="0BE82A90" w14:textId="77777777" w:rsidR="00B4201C" w:rsidRPr="00442C01" w:rsidRDefault="005A3B1E" w:rsidP="005A3B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3"/>
            <w:shd w:val="clear" w:color="auto" w:fill="FFFFFF"/>
            <w:vAlign w:val="center"/>
          </w:tcPr>
          <w:p w14:paraId="64B582E5" w14:textId="77777777" w:rsidR="00B4201C" w:rsidRPr="00442C01" w:rsidRDefault="005A3B1E" w:rsidP="005A3B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7" w:type="dxa"/>
            <w:gridSpan w:val="4"/>
            <w:shd w:val="clear" w:color="auto" w:fill="FFFFFF"/>
            <w:vAlign w:val="center"/>
          </w:tcPr>
          <w:p w14:paraId="226B67F4" w14:textId="77777777" w:rsidR="00B4201C" w:rsidRPr="00442C01" w:rsidRDefault="005A3B1E" w:rsidP="005A3B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3"/>
            <w:shd w:val="clear" w:color="auto" w:fill="FFFFFF"/>
            <w:vAlign w:val="center"/>
          </w:tcPr>
          <w:p w14:paraId="0D7FD08A" w14:textId="77777777" w:rsidR="00B4201C" w:rsidRPr="00442C01" w:rsidRDefault="005A3B1E" w:rsidP="005A3B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2"/>
            <w:shd w:val="clear" w:color="auto" w:fill="FFFFFF"/>
            <w:vAlign w:val="center"/>
          </w:tcPr>
          <w:p w14:paraId="7B6FE9E3" w14:textId="77777777" w:rsidR="00B4201C" w:rsidRPr="00442C01" w:rsidRDefault="005A3B1E" w:rsidP="005A3B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1422" w:type="dxa"/>
            <w:gridSpan w:val="2"/>
            <w:shd w:val="clear" w:color="auto" w:fill="FFFFFF"/>
            <w:vAlign w:val="center"/>
          </w:tcPr>
          <w:p w14:paraId="0F6CACAB" w14:textId="77777777" w:rsidR="00B4201C" w:rsidRPr="00442C01" w:rsidRDefault="005A3B1E" w:rsidP="005A3B1E">
            <w:pPr>
              <w:spacing w:after="0" w:line="240" w:lineRule="auto"/>
              <w:jc w:val="center"/>
              <w:rPr>
                <w:rFonts w:ascii="Times New Roman" w:eastAsia="Calibri" w:hAnsi="Times New Roman" w:cs="Times New Roman"/>
                <w:color w:val="000000"/>
                <w:spacing w:val="-2"/>
              </w:rPr>
            </w:pPr>
            <w:r>
              <w:rPr>
                <w:rFonts w:ascii="Times New Roman" w:eastAsia="Calibri" w:hAnsi="Times New Roman" w:cs="Times New Roman"/>
                <w:color w:val="000000"/>
                <w:spacing w:val="-2"/>
              </w:rPr>
              <w:t>0</w:t>
            </w:r>
          </w:p>
        </w:tc>
      </w:tr>
      <w:tr w:rsidR="005A3B1E" w:rsidRPr="00442C01" w14:paraId="44E467C3" w14:textId="77777777" w:rsidTr="00B17DC3">
        <w:trPr>
          <w:gridAfter w:val="1"/>
          <w:wAfter w:w="10" w:type="dxa"/>
          <w:trHeight w:val="142"/>
        </w:trPr>
        <w:tc>
          <w:tcPr>
            <w:tcW w:w="1596" w:type="dxa"/>
            <w:gridSpan w:val="2"/>
            <w:vMerge/>
            <w:shd w:val="clear" w:color="auto" w:fill="FFFFFF"/>
            <w:vAlign w:val="center"/>
          </w:tcPr>
          <w:p w14:paraId="54016EA2" w14:textId="77777777" w:rsidR="005A3B1E" w:rsidRPr="00442C01" w:rsidRDefault="005A3B1E" w:rsidP="005A3B1E">
            <w:pPr>
              <w:spacing w:after="0" w:line="240" w:lineRule="auto"/>
              <w:jc w:val="center"/>
              <w:rPr>
                <w:rFonts w:ascii="Times New Roman" w:eastAsia="Calibri" w:hAnsi="Times New Roman" w:cs="Times New Roman"/>
                <w:color w:val="000000"/>
              </w:rPr>
            </w:pPr>
          </w:p>
        </w:tc>
        <w:tc>
          <w:tcPr>
            <w:tcW w:w="2293" w:type="dxa"/>
            <w:gridSpan w:val="6"/>
            <w:shd w:val="clear" w:color="auto" w:fill="FFFFFF"/>
            <w:vAlign w:val="center"/>
          </w:tcPr>
          <w:p w14:paraId="55FE15F1" w14:textId="77777777" w:rsidR="005A3B1E" w:rsidRPr="00442C01" w:rsidRDefault="005A3B1E" w:rsidP="005A3B1E">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color w:val="000000"/>
              </w:rPr>
              <w:t>sektor mikro-, małych i średnich przedsiębiorstw</w:t>
            </w:r>
          </w:p>
        </w:tc>
        <w:tc>
          <w:tcPr>
            <w:tcW w:w="937" w:type="dxa"/>
            <w:gridSpan w:val="2"/>
            <w:shd w:val="clear" w:color="auto" w:fill="FFFFFF"/>
            <w:vAlign w:val="center"/>
          </w:tcPr>
          <w:p w14:paraId="0F9C9745" w14:textId="77777777" w:rsidR="005A3B1E" w:rsidRPr="00442C01" w:rsidRDefault="005A3B1E" w:rsidP="005A3B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5"/>
            <w:shd w:val="clear" w:color="auto" w:fill="FFFFFF"/>
            <w:vAlign w:val="center"/>
          </w:tcPr>
          <w:p w14:paraId="0563E7F2" w14:textId="77777777" w:rsidR="005A3B1E" w:rsidRPr="00442C01" w:rsidRDefault="005A3B1E" w:rsidP="005A3B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3"/>
            <w:shd w:val="clear" w:color="auto" w:fill="FFFFFF"/>
            <w:vAlign w:val="center"/>
          </w:tcPr>
          <w:p w14:paraId="64C5D307" w14:textId="77777777" w:rsidR="005A3B1E" w:rsidRPr="00442C01" w:rsidRDefault="005A3B1E" w:rsidP="005A3B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7" w:type="dxa"/>
            <w:gridSpan w:val="4"/>
            <w:shd w:val="clear" w:color="auto" w:fill="FFFFFF"/>
            <w:vAlign w:val="center"/>
          </w:tcPr>
          <w:p w14:paraId="143DA284" w14:textId="77777777" w:rsidR="005A3B1E" w:rsidRPr="00442C01" w:rsidRDefault="005A3B1E" w:rsidP="005A3B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3"/>
            <w:shd w:val="clear" w:color="auto" w:fill="FFFFFF"/>
            <w:vAlign w:val="center"/>
          </w:tcPr>
          <w:p w14:paraId="1B9055CE" w14:textId="77777777" w:rsidR="005A3B1E" w:rsidRPr="00442C01" w:rsidRDefault="005A3B1E" w:rsidP="005A3B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2"/>
            <w:shd w:val="clear" w:color="auto" w:fill="FFFFFF"/>
            <w:vAlign w:val="center"/>
          </w:tcPr>
          <w:p w14:paraId="0B388DFD" w14:textId="77777777" w:rsidR="005A3B1E" w:rsidRPr="00442C01" w:rsidRDefault="005A3B1E" w:rsidP="005A3B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1422" w:type="dxa"/>
            <w:gridSpan w:val="2"/>
            <w:shd w:val="clear" w:color="auto" w:fill="FFFFFF"/>
            <w:vAlign w:val="center"/>
          </w:tcPr>
          <w:p w14:paraId="13ABE7B3" w14:textId="77777777" w:rsidR="005A3B1E" w:rsidRPr="00442C01" w:rsidRDefault="005A3B1E" w:rsidP="005A3B1E">
            <w:pPr>
              <w:spacing w:after="0" w:line="240" w:lineRule="auto"/>
              <w:jc w:val="center"/>
              <w:rPr>
                <w:rFonts w:ascii="Times New Roman" w:eastAsia="Calibri" w:hAnsi="Times New Roman" w:cs="Times New Roman"/>
                <w:color w:val="000000"/>
                <w:spacing w:val="-2"/>
              </w:rPr>
            </w:pPr>
            <w:r>
              <w:rPr>
                <w:rFonts w:ascii="Times New Roman" w:eastAsia="Calibri" w:hAnsi="Times New Roman" w:cs="Times New Roman"/>
                <w:color w:val="000000"/>
                <w:spacing w:val="-2"/>
              </w:rPr>
              <w:t>0</w:t>
            </w:r>
          </w:p>
        </w:tc>
      </w:tr>
      <w:tr w:rsidR="005A3B1E" w:rsidRPr="00442C01" w14:paraId="299818F3" w14:textId="77777777" w:rsidTr="00B17DC3">
        <w:trPr>
          <w:gridAfter w:val="1"/>
          <w:wAfter w:w="10" w:type="dxa"/>
          <w:trHeight w:val="142"/>
        </w:trPr>
        <w:tc>
          <w:tcPr>
            <w:tcW w:w="1596" w:type="dxa"/>
            <w:gridSpan w:val="2"/>
            <w:vMerge/>
            <w:shd w:val="clear" w:color="auto" w:fill="FFFFFF"/>
            <w:vAlign w:val="center"/>
          </w:tcPr>
          <w:p w14:paraId="096D845A" w14:textId="77777777" w:rsidR="005A3B1E" w:rsidRPr="00442C01" w:rsidRDefault="005A3B1E" w:rsidP="005A3B1E">
            <w:pPr>
              <w:spacing w:after="0" w:line="240" w:lineRule="auto"/>
              <w:jc w:val="center"/>
              <w:rPr>
                <w:rFonts w:ascii="Times New Roman" w:eastAsia="Calibri" w:hAnsi="Times New Roman" w:cs="Times New Roman"/>
                <w:color w:val="000000"/>
              </w:rPr>
            </w:pPr>
          </w:p>
        </w:tc>
        <w:tc>
          <w:tcPr>
            <w:tcW w:w="2293" w:type="dxa"/>
            <w:gridSpan w:val="6"/>
            <w:shd w:val="clear" w:color="auto" w:fill="FFFFFF"/>
            <w:vAlign w:val="center"/>
          </w:tcPr>
          <w:p w14:paraId="497B225F" w14:textId="77777777" w:rsidR="005A3B1E" w:rsidRPr="00442C01" w:rsidRDefault="005A3B1E" w:rsidP="005A3B1E">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rPr>
              <w:t>rodzina, obywatele oraz gospodarstwa domowe</w:t>
            </w:r>
          </w:p>
        </w:tc>
        <w:tc>
          <w:tcPr>
            <w:tcW w:w="937" w:type="dxa"/>
            <w:gridSpan w:val="2"/>
            <w:shd w:val="clear" w:color="auto" w:fill="FFFFFF"/>
            <w:vAlign w:val="center"/>
          </w:tcPr>
          <w:p w14:paraId="13E280C3" w14:textId="77777777" w:rsidR="005A3B1E" w:rsidRPr="00442C01" w:rsidRDefault="005A3B1E" w:rsidP="005A3B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5"/>
            <w:shd w:val="clear" w:color="auto" w:fill="FFFFFF"/>
            <w:vAlign w:val="center"/>
          </w:tcPr>
          <w:p w14:paraId="7372820B" w14:textId="77777777" w:rsidR="005A3B1E" w:rsidRPr="00442C01" w:rsidRDefault="005A3B1E" w:rsidP="005A3B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3"/>
            <w:shd w:val="clear" w:color="auto" w:fill="FFFFFF"/>
            <w:vAlign w:val="center"/>
          </w:tcPr>
          <w:p w14:paraId="0AF3CB99" w14:textId="77777777" w:rsidR="005A3B1E" w:rsidRPr="00442C01" w:rsidRDefault="005A3B1E" w:rsidP="005A3B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7" w:type="dxa"/>
            <w:gridSpan w:val="4"/>
            <w:shd w:val="clear" w:color="auto" w:fill="FFFFFF"/>
            <w:vAlign w:val="center"/>
          </w:tcPr>
          <w:p w14:paraId="45D659C4" w14:textId="77777777" w:rsidR="005A3B1E" w:rsidRPr="00442C01" w:rsidRDefault="005A3B1E" w:rsidP="005A3B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3"/>
            <w:shd w:val="clear" w:color="auto" w:fill="FFFFFF"/>
            <w:vAlign w:val="center"/>
          </w:tcPr>
          <w:p w14:paraId="4B3E7BFC" w14:textId="77777777" w:rsidR="005A3B1E" w:rsidRPr="00442C01" w:rsidRDefault="005A3B1E" w:rsidP="005A3B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2"/>
            <w:shd w:val="clear" w:color="auto" w:fill="FFFFFF"/>
            <w:vAlign w:val="center"/>
          </w:tcPr>
          <w:p w14:paraId="37274CD6" w14:textId="77777777" w:rsidR="005A3B1E" w:rsidRPr="00442C01" w:rsidRDefault="005A3B1E" w:rsidP="005A3B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1422" w:type="dxa"/>
            <w:gridSpan w:val="2"/>
            <w:shd w:val="clear" w:color="auto" w:fill="FFFFFF"/>
            <w:vAlign w:val="center"/>
          </w:tcPr>
          <w:p w14:paraId="79BB82DC" w14:textId="77777777" w:rsidR="005A3B1E" w:rsidRPr="00442C01" w:rsidRDefault="005A3B1E" w:rsidP="005A3B1E">
            <w:pPr>
              <w:spacing w:after="0" w:line="240" w:lineRule="auto"/>
              <w:jc w:val="center"/>
              <w:rPr>
                <w:rFonts w:ascii="Times New Roman" w:eastAsia="Calibri" w:hAnsi="Times New Roman" w:cs="Times New Roman"/>
                <w:color w:val="000000"/>
                <w:spacing w:val="-2"/>
              </w:rPr>
            </w:pPr>
            <w:r>
              <w:rPr>
                <w:rFonts w:ascii="Times New Roman" w:eastAsia="Calibri" w:hAnsi="Times New Roman" w:cs="Times New Roman"/>
                <w:color w:val="000000"/>
                <w:spacing w:val="-2"/>
              </w:rPr>
              <w:t>0</w:t>
            </w:r>
          </w:p>
        </w:tc>
      </w:tr>
      <w:tr w:rsidR="005A3B1E" w:rsidRPr="00442C01" w14:paraId="3DBC0BBE" w14:textId="77777777" w:rsidTr="00B17DC3">
        <w:trPr>
          <w:gridAfter w:val="1"/>
          <w:wAfter w:w="10" w:type="dxa"/>
          <w:trHeight w:val="142"/>
        </w:trPr>
        <w:tc>
          <w:tcPr>
            <w:tcW w:w="1596" w:type="dxa"/>
            <w:gridSpan w:val="2"/>
            <w:vMerge/>
            <w:shd w:val="clear" w:color="auto" w:fill="FFFFFF"/>
            <w:vAlign w:val="center"/>
          </w:tcPr>
          <w:p w14:paraId="4B01F2D3" w14:textId="77777777" w:rsidR="005A3B1E" w:rsidRPr="00442C01" w:rsidRDefault="005A3B1E" w:rsidP="005A3B1E">
            <w:pPr>
              <w:spacing w:after="0" w:line="240" w:lineRule="auto"/>
              <w:jc w:val="center"/>
              <w:rPr>
                <w:rFonts w:ascii="Times New Roman" w:eastAsia="Calibri" w:hAnsi="Times New Roman" w:cs="Times New Roman"/>
                <w:color w:val="000000"/>
              </w:rPr>
            </w:pPr>
          </w:p>
        </w:tc>
        <w:tc>
          <w:tcPr>
            <w:tcW w:w="2293" w:type="dxa"/>
            <w:gridSpan w:val="6"/>
            <w:shd w:val="clear" w:color="auto" w:fill="FFFFFF"/>
            <w:vAlign w:val="center"/>
          </w:tcPr>
          <w:p w14:paraId="24CD6C9C" w14:textId="77777777" w:rsidR="005A3B1E" w:rsidRPr="00442C01" w:rsidRDefault="005A3B1E" w:rsidP="005A3B1E">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442C01">
              <w:rPr>
                <w:rFonts w:ascii="Times New Roman" w:eastAsia="Calibri" w:hAnsi="Times New Roman" w:cs="Times New Roman"/>
                <w:color w:val="000000"/>
              </w:rPr>
              <w:instrText xml:space="preserve"> FORMTEXT </w:instrText>
            </w:r>
            <w:r w:rsidRPr="00442C01">
              <w:rPr>
                <w:rFonts w:ascii="Times New Roman" w:eastAsia="Calibri" w:hAnsi="Times New Roman" w:cs="Times New Roman"/>
                <w:color w:val="000000"/>
              </w:rPr>
            </w:r>
            <w:r w:rsidRPr="00442C01">
              <w:rPr>
                <w:rFonts w:ascii="Times New Roman" w:eastAsia="Calibri" w:hAnsi="Times New Roman" w:cs="Times New Roman"/>
                <w:color w:val="000000"/>
              </w:rPr>
              <w:fldChar w:fldCharType="separate"/>
            </w:r>
            <w:r w:rsidRPr="00442C01">
              <w:rPr>
                <w:rFonts w:ascii="Times New Roman" w:eastAsia="Calibri" w:hAnsi="Times New Roman" w:cs="Times New Roman"/>
                <w:noProof/>
                <w:color w:val="000000"/>
              </w:rPr>
              <w:t>(dodaj/usuń)</w:t>
            </w:r>
            <w:r w:rsidRPr="00442C01">
              <w:rPr>
                <w:rFonts w:ascii="Times New Roman" w:eastAsia="Calibri" w:hAnsi="Times New Roman" w:cs="Times New Roman"/>
                <w:color w:val="000000"/>
              </w:rPr>
              <w:fldChar w:fldCharType="end"/>
            </w:r>
          </w:p>
        </w:tc>
        <w:tc>
          <w:tcPr>
            <w:tcW w:w="937" w:type="dxa"/>
            <w:gridSpan w:val="2"/>
            <w:shd w:val="clear" w:color="auto" w:fill="FFFFFF"/>
            <w:vAlign w:val="center"/>
          </w:tcPr>
          <w:p w14:paraId="77CC5BFC" w14:textId="77777777" w:rsidR="005A3B1E" w:rsidRPr="00442C01" w:rsidRDefault="005A3B1E" w:rsidP="005A3B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5"/>
            <w:shd w:val="clear" w:color="auto" w:fill="FFFFFF"/>
            <w:vAlign w:val="center"/>
          </w:tcPr>
          <w:p w14:paraId="75F1BF0A" w14:textId="77777777" w:rsidR="005A3B1E" w:rsidRPr="00442C01" w:rsidRDefault="005A3B1E" w:rsidP="005A3B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3"/>
            <w:shd w:val="clear" w:color="auto" w:fill="FFFFFF"/>
            <w:vAlign w:val="center"/>
          </w:tcPr>
          <w:p w14:paraId="563AE36F" w14:textId="77777777" w:rsidR="005A3B1E" w:rsidRPr="00442C01" w:rsidRDefault="005A3B1E" w:rsidP="005A3B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7" w:type="dxa"/>
            <w:gridSpan w:val="4"/>
            <w:shd w:val="clear" w:color="auto" w:fill="FFFFFF"/>
            <w:vAlign w:val="center"/>
          </w:tcPr>
          <w:p w14:paraId="2C33FC75" w14:textId="77777777" w:rsidR="005A3B1E" w:rsidRPr="00442C01" w:rsidRDefault="005A3B1E" w:rsidP="005A3B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3"/>
            <w:shd w:val="clear" w:color="auto" w:fill="FFFFFF"/>
            <w:vAlign w:val="center"/>
          </w:tcPr>
          <w:p w14:paraId="6168D3E4" w14:textId="77777777" w:rsidR="005A3B1E" w:rsidRPr="00442C01" w:rsidRDefault="005A3B1E" w:rsidP="005A3B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2"/>
            <w:shd w:val="clear" w:color="auto" w:fill="FFFFFF"/>
            <w:vAlign w:val="center"/>
          </w:tcPr>
          <w:p w14:paraId="0D95C54C" w14:textId="77777777" w:rsidR="005A3B1E" w:rsidRPr="00442C01" w:rsidRDefault="005A3B1E" w:rsidP="005A3B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1422" w:type="dxa"/>
            <w:gridSpan w:val="2"/>
            <w:shd w:val="clear" w:color="auto" w:fill="FFFFFF"/>
            <w:vAlign w:val="center"/>
          </w:tcPr>
          <w:p w14:paraId="45BEA490" w14:textId="77777777" w:rsidR="005A3B1E" w:rsidRPr="00442C01" w:rsidRDefault="005A3B1E" w:rsidP="005A3B1E">
            <w:pPr>
              <w:spacing w:after="0" w:line="240" w:lineRule="auto"/>
              <w:jc w:val="center"/>
              <w:rPr>
                <w:rFonts w:ascii="Times New Roman" w:eastAsia="Calibri" w:hAnsi="Times New Roman" w:cs="Times New Roman"/>
                <w:color w:val="000000"/>
                <w:spacing w:val="-2"/>
              </w:rPr>
            </w:pPr>
            <w:r>
              <w:rPr>
                <w:rFonts w:ascii="Times New Roman" w:eastAsia="Calibri" w:hAnsi="Times New Roman" w:cs="Times New Roman"/>
                <w:color w:val="000000"/>
                <w:spacing w:val="-2"/>
              </w:rPr>
              <w:t>0</w:t>
            </w:r>
          </w:p>
        </w:tc>
      </w:tr>
      <w:tr w:rsidR="00FD7FBA" w:rsidRPr="00442C01" w14:paraId="7C7E50A3" w14:textId="77777777" w:rsidTr="00B17DC3">
        <w:trPr>
          <w:gridAfter w:val="1"/>
          <w:wAfter w:w="10" w:type="dxa"/>
          <w:trHeight w:val="142"/>
        </w:trPr>
        <w:tc>
          <w:tcPr>
            <w:tcW w:w="1596" w:type="dxa"/>
            <w:gridSpan w:val="2"/>
            <w:vMerge w:val="restart"/>
            <w:shd w:val="clear" w:color="auto" w:fill="FFFFFF"/>
          </w:tcPr>
          <w:p w14:paraId="721B5349" w14:textId="77777777" w:rsidR="00FD7FBA" w:rsidRPr="00442C01" w:rsidRDefault="00FD7FBA" w:rsidP="005A3B1E">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lastRenderedPageBreak/>
              <w:t>W ujęciu niepieniężnym</w:t>
            </w:r>
          </w:p>
        </w:tc>
        <w:tc>
          <w:tcPr>
            <w:tcW w:w="2293" w:type="dxa"/>
            <w:gridSpan w:val="6"/>
            <w:shd w:val="clear" w:color="auto" w:fill="FFFFFF"/>
          </w:tcPr>
          <w:p w14:paraId="1D56FA81" w14:textId="77777777" w:rsidR="00FD7FBA" w:rsidRPr="00442C01" w:rsidRDefault="00FD7FBA" w:rsidP="005A3B1E">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t>duże przedsiębiorstwa</w:t>
            </w:r>
          </w:p>
        </w:tc>
        <w:tc>
          <w:tcPr>
            <w:tcW w:w="7048" w:type="dxa"/>
            <w:gridSpan w:val="21"/>
            <w:shd w:val="clear" w:color="auto" w:fill="FFFFFF"/>
          </w:tcPr>
          <w:p w14:paraId="2CD4D864" w14:textId="77777777" w:rsidR="00FD7FBA" w:rsidRPr="00DF7E2C" w:rsidRDefault="00FD7FBA" w:rsidP="005A3B1E">
            <w:pPr>
              <w:suppressAutoHyphens/>
              <w:autoSpaceDE w:val="0"/>
              <w:autoSpaceDN w:val="0"/>
              <w:adjustRightInd w:val="0"/>
              <w:spacing w:after="0" w:line="240" w:lineRule="auto"/>
              <w:rPr>
                <w:rFonts w:ascii="Times New Roman" w:eastAsia="Times New Roman" w:hAnsi="Times New Roman" w:cs="Times New Roman"/>
                <w:bCs/>
                <w:lang w:eastAsia="pl-PL"/>
              </w:rPr>
            </w:pPr>
            <w:r w:rsidRPr="00F911B1">
              <w:rPr>
                <w:rFonts w:ascii="Times New Roman" w:hAnsi="Times New Roman"/>
                <w:color w:val="000000"/>
                <w:spacing w:val="-2"/>
                <w:szCs w:val="21"/>
              </w:rPr>
              <w:t>Przedmiotowa zmiana wpływa na konk</w:t>
            </w:r>
            <w:r>
              <w:rPr>
                <w:rFonts w:ascii="Times New Roman" w:hAnsi="Times New Roman"/>
                <w:color w:val="000000"/>
                <w:spacing w:val="-2"/>
                <w:szCs w:val="21"/>
              </w:rPr>
              <w:t>u</w:t>
            </w:r>
            <w:r w:rsidRPr="00F911B1">
              <w:rPr>
                <w:rFonts w:ascii="Times New Roman" w:hAnsi="Times New Roman"/>
                <w:color w:val="000000"/>
                <w:spacing w:val="-2"/>
                <w:szCs w:val="21"/>
              </w:rPr>
              <w:t xml:space="preserve">rencyjność podmiotów realizujących świadczenia gwarantowane względem podmiotów świadczących </w:t>
            </w:r>
            <w:r>
              <w:rPr>
                <w:rFonts w:ascii="Times New Roman" w:hAnsi="Times New Roman"/>
                <w:color w:val="000000"/>
                <w:spacing w:val="-2"/>
                <w:szCs w:val="21"/>
              </w:rPr>
              <w:t xml:space="preserve">nowo wprowadzane świadczenia w sektorze poza </w:t>
            </w:r>
            <w:r w:rsidR="005A3B1E">
              <w:rPr>
                <w:rFonts w:ascii="Times New Roman" w:hAnsi="Times New Roman"/>
                <w:color w:val="000000"/>
                <w:spacing w:val="-2"/>
                <w:szCs w:val="21"/>
              </w:rPr>
              <w:t>finansowaniem świadczeń ze </w:t>
            </w:r>
            <w:r>
              <w:rPr>
                <w:rFonts w:ascii="Times New Roman" w:hAnsi="Times New Roman"/>
                <w:color w:val="000000"/>
                <w:spacing w:val="-2"/>
                <w:szCs w:val="21"/>
              </w:rPr>
              <w:t>środków publicznych.</w:t>
            </w:r>
          </w:p>
        </w:tc>
      </w:tr>
      <w:tr w:rsidR="00FD7FBA" w:rsidRPr="00442C01" w14:paraId="40C799DF" w14:textId="77777777" w:rsidTr="00B17DC3">
        <w:trPr>
          <w:gridAfter w:val="1"/>
          <w:wAfter w:w="10" w:type="dxa"/>
          <w:trHeight w:val="142"/>
        </w:trPr>
        <w:tc>
          <w:tcPr>
            <w:tcW w:w="1596" w:type="dxa"/>
            <w:gridSpan w:val="2"/>
            <w:vMerge/>
            <w:shd w:val="clear" w:color="auto" w:fill="FFFFFF"/>
          </w:tcPr>
          <w:p w14:paraId="14E87507" w14:textId="77777777" w:rsidR="00FD7FBA" w:rsidRPr="00442C01" w:rsidRDefault="00FD7FBA" w:rsidP="005A3B1E">
            <w:pPr>
              <w:spacing w:after="0" w:line="240" w:lineRule="auto"/>
              <w:rPr>
                <w:rFonts w:ascii="Times New Roman" w:eastAsia="Calibri" w:hAnsi="Times New Roman" w:cs="Times New Roman"/>
                <w:color w:val="000000"/>
              </w:rPr>
            </w:pPr>
          </w:p>
        </w:tc>
        <w:tc>
          <w:tcPr>
            <w:tcW w:w="2293" w:type="dxa"/>
            <w:gridSpan w:val="6"/>
            <w:shd w:val="clear" w:color="auto" w:fill="FFFFFF"/>
          </w:tcPr>
          <w:p w14:paraId="34DE521A" w14:textId="77777777" w:rsidR="00FD7FBA" w:rsidRPr="00442C01" w:rsidRDefault="00FD7FBA" w:rsidP="005A3B1E">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t>sektor mikro-, małych i średnich przedsiębiorstw</w:t>
            </w:r>
          </w:p>
        </w:tc>
        <w:tc>
          <w:tcPr>
            <w:tcW w:w="7048" w:type="dxa"/>
            <w:gridSpan w:val="21"/>
            <w:shd w:val="clear" w:color="auto" w:fill="FFFFFF"/>
          </w:tcPr>
          <w:p w14:paraId="50009100" w14:textId="77777777" w:rsidR="00FD7FBA" w:rsidRPr="00DF7E2C" w:rsidRDefault="00FD7FBA" w:rsidP="005A3B1E">
            <w:pPr>
              <w:suppressAutoHyphens/>
              <w:autoSpaceDE w:val="0"/>
              <w:autoSpaceDN w:val="0"/>
              <w:adjustRightInd w:val="0"/>
              <w:spacing w:after="0" w:line="240" w:lineRule="auto"/>
              <w:jc w:val="both"/>
              <w:rPr>
                <w:rFonts w:ascii="Times New Roman" w:eastAsia="Times New Roman" w:hAnsi="Times New Roman" w:cs="Times New Roman"/>
                <w:bCs/>
                <w:lang w:eastAsia="pl-PL"/>
              </w:rPr>
            </w:pPr>
            <w:r w:rsidRPr="00F911B1">
              <w:rPr>
                <w:rFonts w:ascii="Times New Roman" w:hAnsi="Times New Roman"/>
                <w:color w:val="000000"/>
                <w:spacing w:val="-2"/>
                <w:szCs w:val="21"/>
              </w:rPr>
              <w:t>Przedmiotowa zmiana wpływa na konk</w:t>
            </w:r>
            <w:r>
              <w:rPr>
                <w:rFonts w:ascii="Times New Roman" w:hAnsi="Times New Roman"/>
                <w:color w:val="000000"/>
                <w:spacing w:val="-2"/>
                <w:szCs w:val="21"/>
              </w:rPr>
              <w:t>u</w:t>
            </w:r>
            <w:r w:rsidRPr="00F911B1">
              <w:rPr>
                <w:rFonts w:ascii="Times New Roman" w:hAnsi="Times New Roman"/>
                <w:color w:val="000000"/>
                <w:spacing w:val="-2"/>
                <w:szCs w:val="21"/>
              </w:rPr>
              <w:t xml:space="preserve">rencyjność podmiotów realizujących świadczenia gwarantowane względem podmiotów świadczących </w:t>
            </w:r>
            <w:r>
              <w:rPr>
                <w:rFonts w:ascii="Times New Roman" w:hAnsi="Times New Roman"/>
                <w:color w:val="000000"/>
                <w:spacing w:val="-2"/>
                <w:szCs w:val="21"/>
              </w:rPr>
              <w:t xml:space="preserve">nowo wprowadzane świadczenia w sektorze poza </w:t>
            </w:r>
            <w:r w:rsidR="005A3B1E">
              <w:rPr>
                <w:rFonts w:ascii="Times New Roman" w:hAnsi="Times New Roman"/>
                <w:color w:val="000000"/>
                <w:spacing w:val="-2"/>
                <w:szCs w:val="21"/>
              </w:rPr>
              <w:t>finansowaniem świadczeń ze </w:t>
            </w:r>
            <w:r>
              <w:rPr>
                <w:rFonts w:ascii="Times New Roman" w:hAnsi="Times New Roman"/>
                <w:color w:val="000000"/>
                <w:spacing w:val="-2"/>
                <w:szCs w:val="21"/>
              </w:rPr>
              <w:t>środków publicznych.</w:t>
            </w:r>
          </w:p>
        </w:tc>
      </w:tr>
      <w:tr w:rsidR="00FD7FBA" w:rsidRPr="00442C01" w14:paraId="4C6F94F3" w14:textId="77777777" w:rsidTr="00B17DC3">
        <w:trPr>
          <w:gridAfter w:val="1"/>
          <w:wAfter w:w="10" w:type="dxa"/>
          <w:trHeight w:val="596"/>
        </w:trPr>
        <w:tc>
          <w:tcPr>
            <w:tcW w:w="1596" w:type="dxa"/>
            <w:gridSpan w:val="2"/>
            <w:vMerge/>
            <w:shd w:val="clear" w:color="auto" w:fill="FFFFFF"/>
          </w:tcPr>
          <w:p w14:paraId="4466D6EE" w14:textId="77777777" w:rsidR="00FD7FBA" w:rsidRPr="00442C01" w:rsidRDefault="00FD7FBA" w:rsidP="005A3B1E">
            <w:pPr>
              <w:spacing w:after="0" w:line="240" w:lineRule="auto"/>
              <w:rPr>
                <w:rFonts w:ascii="Times New Roman" w:eastAsia="Calibri" w:hAnsi="Times New Roman" w:cs="Times New Roman"/>
                <w:color w:val="000000"/>
              </w:rPr>
            </w:pPr>
          </w:p>
        </w:tc>
        <w:tc>
          <w:tcPr>
            <w:tcW w:w="2293" w:type="dxa"/>
            <w:gridSpan w:val="6"/>
            <w:shd w:val="clear" w:color="auto" w:fill="FFFFFF"/>
          </w:tcPr>
          <w:p w14:paraId="385036E9" w14:textId="77777777" w:rsidR="00FD7FBA" w:rsidRPr="00442C01" w:rsidRDefault="00FD7FBA" w:rsidP="005A3B1E">
            <w:pPr>
              <w:tabs>
                <w:tab w:val="right" w:pos="1936"/>
              </w:tabs>
              <w:spacing w:after="0" w:line="240" w:lineRule="auto"/>
              <w:rPr>
                <w:rFonts w:ascii="Times New Roman" w:eastAsia="Calibri" w:hAnsi="Times New Roman" w:cs="Times New Roman"/>
                <w:color w:val="000000"/>
              </w:rPr>
            </w:pPr>
            <w:r w:rsidRPr="00442C01">
              <w:rPr>
                <w:rFonts w:ascii="Times New Roman" w:eastAsia="Calibri" w:hAnsi="Times New Roman" w:cs="Times New Roman"/>
              </w:rPr>
              <w:t>rodzina, obywatele oraz gospodarstwa domowe</w:t>
            </w:r>
            <w:r w:rsidRPr="00442C01">
              <w:rPr>
                <w:rFonts w:ascii="Times New Roman" w:eastAsia="Calibri" w:hAnsi="Times New Roman" w:cs="Times New Roman"/>
                <w:color w:val="000000"/>
              </w:rPr>
              <w:t xml:space="preserve"> </w:t>
            </w:r>
          </w:p>
        </w:tc>
        <w:tc>
          <w:tcPr>
            <w:tcW w:w="7048" w:type="dxa"/>
            <w:gridSpan w:val="21"/>
            <w:shd w:val="clear" w:color="auto" w:fill="FFFFFF"/>
          </w:tcPr>
          <w:p w14:paraId="7857694D" w14:textId="77777777" w:rsidR="00FD7FBA" w:rsidRPr="00442C01" w:rsidRDefault="00FD7FBA" w:rsidP="005A3B1E">
            <w:pPr>
              <w:spacing w:after="0" w:line="240" w:lineRule="auto"/>
              <w:rPr>
                <w:rFonts w:ascii="Times New Roman" w:eastAsia="Calibri" w:hAnsi="Times New Roman" w:cs="Times New Roman"/>
                <w:color w:val="000000"/>
                <w:spacing w:val="-2"/>
              </w:rPr>
            </w:pPr>
            <w:r w:rsidRPr="00F911B1">
              <w:rPr>
                <w:rFonts w:ascii="Times New Roman" w:hAnsi="Times New Roman"/>
                <w:color w:val="000000"/>
                <w:spacing w:val="-2"/>
                <w:szCs w:val="21"/>
              </w:rPr>
              <w:t>Świadczenia objęte finansowaniem ze środków publicznych wskutek wprowadzenia przedmiotowych regulacji zwi</w:t>
            </w:r>
            <w:r w:rsidR="005A3B1E">
              <w:rPr>
                <w:rFonts w:ascii="Times New Roman" w:hAnsi="Times New Roman"/>
                <w:color w:val="000000"/>
                <w:spacing w:val="-2"/>
                <w:szCs w:val="21"/>
              </w:rPr>
              <w:t>ększają dostęp do świadczeń dla </w:t>
            </w:r>
            <w:r w:rsidRPr="00F911B1">
              <w:rPr>
                <w:rFonts w:ascii="Times New Roman" w:hAnsi="Times New Roman"/>
                <w:color w:val="000000"/>
                <w:spacing w:val="-2"/>
                <w:szCs w:val="21"/>
              </w:rPr>
              <w:t>osób mających wskazania do u</w:t>
            </w:r>
            <w:r>
              <w:rPr>
                <w:rFonts w:ascii="Times New Roman" w:hAnsi="Times New Roman"/>
                <w:color w:val="000000"/>
                <w:spacing w:val="-2"/>
                <w:szCs w:val="21"/>
              </w:rPr>
              <w:t xml:space="preserve">zyskania </w:t>
            </w:r>
            <w:r w:rsidRPr="00F911B1">
              <w:rPr>
                <w:rFonts w:ascii="Times New Roman" w:hAnsi="Times New Roman"/>
                <w:color w:val="000000"/>
                <w:spacing w:val="-2"/>
                <w:szCs w:val="21"/>
              </w:rPr>
              <w:t>świadcze</w:t>
            </w:r>
            <w:r>
              <w:rPr>
                <w:rFonts w:ascii="Times New Roman" w:hAnsi="Times New Roman"/>
                <w:color w:val="000000"/>
                <w:spacing w:val="-2"/>
                <w:szCs w:val="21"/>
              </w:rPr>
              <w:t>nia</w:t>
            </w:r>
            <w:r w:rsidRPr="00F911B1">
              <w:rPr>
                <w:rFonts w:ascii="Times New Roman" w:hAnsi="Times New Roman"/>
                <w:color w:val="000000"/>
                <w:spacing w:val="-2"/>
                <w:szCs w:val="21"/>
              </w:rPr>
              <w:t xml:space="preserve">. Z uwagi na całkowite finansowanie </w:t>
            </w:r>
            <w:r>
              <w:rPr>
                <w:rFonts w:ascii="Times New Roman" w:hAnsi="Times New Roman"/>
                <w:color w:val="000000"/>
                <w:spacing w:val="-2"/>
                <w:szCs w:val="21"/>
              </w:rPr>
              <w:t xml:space="preserve">nowo wprowadzanych </w:t>
            </w:r>
            <w:r w:rsidRPr="00F911B1">
              <w:rPr>
                <w:rFonts w:ascii="Times New Roman" w:hAnsi="Times New Roman"/>
                <w:color w:val="000000"/>
                <w:spacing w:val="-2"/>
                <w:szCs w:val="21"/>
              </w:rPr>
              <w:t xml:space="preserve">świadczeń ze środków publicznych, </w:t>
            </w:r>
            <w:r>
              <w:rPr>
                <w:rFonts w:ascii="Times New Roman" w:hAnsi="Times New Roman"/>
                <w:color w:val="000000"/>
                <w:spacing w:val="-2"/>
                <w:szCs w:val="21"/>
              </w:rPr>
              <w:t>przedmiotowe</w:t>
            </w:r>
            <w:r w:rsidRPr="00F911B1">
              <w:rPr>
                <w:rFonts w:ascii="Times New Roman" w:hAnsi="Times New Roman"/>
                <w:color w:val="000000"/>
                <w:spacing w:val="-2"/>
                <w:szCs w:val="21"/>
              </w:rPr>
              <w:t xml:space="preserve"> regulacje odciążają</w:t>
            </w:r>
            <w:r>
              <w:rPr>
                <w:rFonts w:ascii="Times New Roman" w:hAnsi="Times New Roman"/>
                <w:color w:val="000000"/>
                <w:spacing w:val="-2"/>
                <w:szCs w:val="21"/>
              </w:rPr>
              <w:t xml:space="preserve"> budżety gospodarstw domowych o </w:t>
            </w:r>
            <w:r w:rsidRPr="00F911B1">
              <w:rPr>
                <w:rFonts w:ascii="Times New Roman" w:hAnsi="Times New Roman"/>
                <w:color w:val="000000"/>
                <w:spacing w:val="-2"/>
                <w:szCs w:val="21"/>
              </w:rPr>
              <w:t>szacowany w OSR skutek finansowy.</w:t>
            </w:r>
          </w:p>
        </w:tc>
      </w:tr>
      <w:tr w:rsidR="00B4201C" w:rsidRPr="00442C01" w14:paraId="1E834A7E" w14:textId="77777777" w:rsidTr="00B17DC3">
        <w:trPr>
          <w:gridAfter w:val="1"/>
          <w:wAfter w:w="10" w:type="dxa"/>
          <w:trHeight w:val="142"/>
        </w:trPr>
        <w:tc>
          <w:tcPr>
            <w:tcW w:w="1596" w:type="dxa"/>
            <w:gridSpan w:val="2"/>
            <w:vMerge w:val="restart"/>
            <w:shd w:val="clear" w:color="auto" w:fill="FFFFFF"/>
          </w:tcPr>
          <w:p w14:paraId="6FB2105B" w14:textId="77777777" w:rsidR="00B4201C" w:rsidRPr="00442C01" w:rsidRDefault="00B4201C" w:rsidP="00C761E8">
            <w:pPr>
              <w:spacing w:before="120" w:after="12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t>Niemierzalne</w:t>
            </w:r>
          </w:p>
        </w:tc>
        <w:tc>
          <w:tcPr>
            <w:tcW w:w="2293" w:type="dxa"/>
            <w:gridSpan w:val="6"/>
            <w:shd w:val="clear" w:color="auto" w:fill="FFFFFF"/>
          </w:tcPr>
          <w:p w14:paraId="1D2A6A59" w14:textId="77777777" w:rsidR="00B4201C" w:rsidRPr="00442C01" w:rsidRDefault="00B4201C" w:rsidP="00C761E8">
            <w:pPr>
              <w:spacing w:before="120" w:after="12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442C01">
              <w:rPr>
                <w:rFonts w:ascii="Times New Roman" w:eastAsia="Calibri" w:hAnsi="Times New Roman" w:cs="Times New Roman"/>
                <w:color w:val="000000"/>
              </w:rPr>
              <w:instrText xml:space="preserve"> FORMTEXT </w:instrText>
            </w:r>
            <w:r w:rsidRPr="00442C01">
              <w:rPr>
                <w:rFonts w:ascii="Times New Roman" w:eastAsia="Calibri" w:hAnsi="Times New Roman" w:cs="Times New Roman"/>
                <w:color w:val="000000"/>
              </w:rPr>
            </w:r>
            <w:r w:rsidRPr="00442C01">
              <w:rPr>
                <w:rFonts w:ascii="Times New Roman" w:eastAsia="Calibri" w:hAnsi="Times New Roman" w:cs="Times New Roman"/>
                <w:color w:val="000000"/>
              </w:rPr>
              <w:fldChar w:fldCharType="separate"/>
            </w:r>
            <w:r w:rsidRPr="00442C01">
              <w:rPr>
                <w:rFonts w:ascii="Times New Roman" w:eastAsia="Calibri" w:hAnsi="Times New Roman" w:cs="Times New Roman"/>
                <w:noProof/>
                <w:color w:val="000000"/>
              </w:rPr>
              <w:t>(dodaj/usuń)</w:t>
            </w:r>
            <w:r w:rsidRPr="00442C01">
              <w:rPr>
                <w:rFonts w:ascii="Times New Roman" w:eastAsia="Calibri" w:hAnsi="Times New Roman" w:cs="Times New Roman"/>
                <w:color w:val="000000"/>
              </w:rPr>
              <w:fldChar w:fldCharType="end"/>
            </w:r>
          </w:p>
        </w:tc>
        <w:tc>
          <w:tcPr>
            <w:tcW w:w="7048" w:type="dxa"/>
            <w:gridSpan w:val="21"/>
            <w:shd w:val="clear" w:color="auto" w:fill="FFFFFF"/>
          </w:tcPr>
          <w:p w14:paraId="7F3E9266" w14:textId="77777777" w:rsidR="00B4201C" w:rsidRPr="00442C01" w:rsidRDefault="00FD7FBA" w:rsidP="00C761E8">
            <w:pPr>
              <w:spacing w:before="120" w:after="120" w:line="240" w:lineRule="auto"/>
              <w:rPr>
                <w:rFonts w:ascii="Times New Roman" w:eastAsia="Calibri" w:hAnsi="Times New Roman" w:cs="Times New Roman"/>
                <w:color w:val="000000"/>
                <w:spacing w:val="-2"/>
              </w:rPr>
            </w:pPr>
            <w:r>
              <w:rPr>
                <w:rFonts w:ascii="Times New Roman" w:eastAsia="Calibri" w:hAnsi="Times New Roman" w:cs="Times New Roman"/>
                <w:color w:val="000000"/>
                <w:spacing w:val="-2"/>
              </w:rPr>
              <w:t>-</w:t>
            </w:r>
          </w:p>
        </w:tc>
      </w:tr>
      <w:tr w:rsidR="00B4201C" w:rsidRPr="00442C01" w14:paraId="186107D1" w14:textId="77777777" w:rsidTr="00B17DC3">
        <w:trPr>
          <w:gridAfter w:val="1"/>
          <w:wAfter w:w="10" w:type="dxa"/>
          <w:trHeight w:val="142"/>
        </w:trPr>
        <w:tc>
          <w:tcPr>
            <w:tcW w:w="1596" w:type="dxa"/>
            <w:gridSpan w:val="2"/>
            <w:vMerge/>
            <w:shd w:val="clear" w:color="auto" w:fill="FFFFFF"/>
          </w:tcPr>
          <w:p w14:paraId="2DCD8BEE" w14:textId="77777777" w:rsidR="00B4201C" w:rsidRPr="00442C01" w:rsidRDefault="00B4201C" w:rsidP="00C761E8">
            <w:pPr>
              <w:spacing w:before="120" w:after="120" w:line="240" w:lineRule="auto"/>
              <w:rPr>
                <w:rFonts w:ascii="Times New Roman" w:eastAsia="Calibri" w:hAnsi="Times New Roman" w:cs="Times New Roman"/>
                <w:color w:val="000000"/>
              </w:rPr>
            </w:pPr>
          </w:p>
        </w:tc>
        <w:tc>
          <w:tcPr>
            <w:tcW w:w="2293" w:type="dxa"/>
            <w:gridSpan w:val="6"/>
            <w:shd w:val="clear" w:color="auto" w:fill="FFFFFF"/>
          </w:tcPr>
          <w:p w14:paraId="417E003A" w14:textId="77777777" w:rsidR="00B4201C" w:rsidRPr="00442C01" w:rsidRDefault="00B4201C" w:rsidP="00C761E8">
            <w:pPr>
              <w:spacing w:before="120" w:after="12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442C01">
              <w:rPr>
                <w:rFonts w:ascii="Times New Roman" w:eastAsia="Calibri" w:hAnsi="Times New Roman" w:cs="Times New Roman"/>
                <w:color w:val="000000"/>
              </w:rPr>
              <w:instrText xml:space="preserve"> FORMTEXT </w:instrText>
            </w:r>
            <w:r w:rsidRPr="00442C01">
              <w:rPr>
                <w:rFonts w:ascii="Times New Roman" w:eastAsia="Calibri" w:hAnsi="Times New Roman" w:cs="Times New Roman"/>
                <w:color w:val="000000"/>
              </w:rPr>
            </w:r>
            <w:r w:rsidRPr="00442C01">
              <w:rPr>
                <w:rFonts w:ascii="Times New Roman" w:eastAsia="Calibri" w:hAnsi="Times New Roman" w:cs="Times New Roman"/>
                <w:color w:val="000000"/>
              </w:rPr>
              <w:fldChar w:fldCharType="separate"/>
            </w:r>
            <w:r w:rsidRPr="00442C01">
              <w:rPr>
                <w:rFonts w:ascii="Times New Roman" w:eastAsia="Calibri" w:hAnsi="Times New Roman" w:cs="Times New Roman"/>
                <w:noProof/>
                <w:color w:val="000000"/>
              </w:rPr>
              <w:t>(dodaj/usuń)</w:t>
            </w:r>
            <w:r w:rsidRPr="00442C01">
              <w:rPr>
                <w:rFonts w:ascii="Times New Roman" w:eastAsia="Calibri" w:hAnsi="Times New Roman" w:cs="Times New Roman"/>
                <w:color w:val="000000"/>
              </w:rPr>
              <w:fldChar w:fldCharType="end"/>
            </w:r>
          </w:p>
        </w:tc>
        <w:tc>
          <w:tcPr>
            <w:tcW w:w="7048" w:type="dxa"/>
            <w:gridSpan w:val="21"/>
            <w:shd w:val="clear" w:color="auto" w:fill="FFFFFF"/>
          </w:tcPr>
          <w:p w14:paraId="19DB97F3" w14:textId="77777777" w:rsidR="00B4201C" w:rsidRPr="00442C01" w:rsidRDefault="00FD7FBA" w:rsidP="00C761E8">
            <w:pPr>
              <w:spacing w:before="120" w:after="120" w:line="240" w:lineRule="auto"/>
              <w:rPr>
                <w:rFonts w:ascii="Times New Roman" w:eastAsia="Calibri" w:hAnsi="Times New Roman" w:cs="Times New Roman"/>
                <w:color w:val="000000"/>
                <w:spacing w:val="-2"/>
              </w:rPr>
            </w:pPr>
            <w:r>
              <w:rPr>
                <w:rFonts w:ascii="Times New Roman" w:eastAsia="Calibri" w:hAnsi="Times New Roman" w:cs="Times New Roman"/>
                <w:color w:val="000000"/>
                <w:spacing w:val="-2"/>
              </w:rPr>
              <w:t>-</w:t>
            </w:r>
          </w:p>
        </w:tc>
      </w:tr>
      <w:tr w:rsidR="00B4201C" w:rsidRPr="00442C01" w14:paraId="3C66D820" w14:textId="77777777" w:rsidTr="00B17DC3">
        <w:trPr>
          <w:gridAfter w:val="1"/>
          <w:wAfter w:w="10" w:type="dxa"/>
          <w:trHeight w:val="1364"/>
        </w:trPr>
        <w:tc>
          <w:tcPr>
            <w:tcW w:w="1589" w:type="dxa"/>
            <w:shd w:val="clear" w:color="auto" w:fill="FFFFFF"/>
          </w:tcPr>
          <w:p w14:paraId="5D759BCA" w14:textId="77777777" w:rsidR="00B4201C" w:rsidRPr="00442C01" w:rsidRDefault="00B4201C" w:rsidP="00C761E8">
            <w:pPr>
              <w:spacing w:before="120" w:after="12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t xml:space="preserve">Dodatkowe informacje, w tym wskazanie źródeł danych i przyjętych do obliczeń założeń </w:t>
            </w:r>
          </w:p>
        </w:tc>
        <w:tc>
          <w:tcPr>
            <w:tcW w:w="9348" w:type="dxa"/>
            <w:gridSpan w:val="28"/>
            <w:shd w:val="clear" w:color="auto" w:fill="FFFFFF"/>
            <w:vAlign w:val="center"/>
          </w:tcPr>
          <w:p w14:paraId="03E67D70" w14:textId="77777777" w:rsidR="00B4201C" w:rsidRPr="00442C01" w:rsidRDefault="00FD7FBA" w:rsidP="00C761E8">
            <w:pPr>
              <w:spacing w:before="120" w:after="120" w:line="240" w:lineRule="auto"/>
              <w:jc w:val="both"/>
              <w:rPr>
                <w:rFonts w:ascii="Times New Roman" w:eastAsia="Calibri" w:hAnsi="Times New Roman" w:cs="Times New Roman"/>
              </w:rPr>
            </w:pPr>
            <w:r>
              <w:rPr>
                <w:rFonts w:ascii="Times New Roman" w:eastAsia="Calibri" w:hAnsi="Times New Roman" w:cs="Times New Roman"/>
              </w:rPr>
              <w:t>-</w:t>
            </w:r>
          </w:p>
        </w:tc>
      </w:tr>
      <w:tr w:rsidR="00B4201C" w:rsidRPr="00442C01" w14:paraId="124883E1" w14:textId="77777777" w:rsidTr="00B17DC3">
        <w:trPr>
          <w:gridAfter w:val="1"/>
          <w:wAfter w:w="10" w:type="dxa"/>
          <w:trHeight w:val="342"/>
        </w:trPr>
        <w:tc>
          <w:tcPr>
            <w:tcW w:w="10937" w:type="dxa"/>
            <w:gridSpan w:val="29"/>
            <w:shd w:val="clear" w:color="auto" w:fill="99CCFF"/>
            <w:vAlign w:val="center"/>
          </w:tcPr>
          <w:p w14:paraId="507E246F" w14:textId="77777777" w:rsidR="00B4201C" w:rsidRPr="00442C01" w:rsidRDefault="00B4201C" w:rsidP="00C761E8">
            <w:pPr>
              <w:numPr>
                <w:ilvl w:val="0"/>
                <w:numId w:val="1"/>
              </w:numPr>
              <w:spacing w:before="120" w:after="120" w:line="240" w:lineRule="auto"/>
              <w:ind w:left="318" w:hanging="284"/>
              <w:jc w:val="both"/>
              <w:rPr>
                <w:rFonts w:ascii="Times New Roman" w:eastAsia="Calibri" w:hAnsi="Times New Roman" w:cs="Times New Roman"/>
                <w:b/>
                <w:color w:val="000000"/>
              </w:rPr>
            </w:pPr>
            <w:r w:rsidRPr="00442C01">
              <w:rPr>
                <w:rFonts w:ascii="Times New Roman" w:eastAsia="Calibri" w:hAnsi="Times New Roman" w:cs="Times New Roman"/>
                <w:b/>
                <w:color w:val="000000"/>
              </w:rPr>
              <w:t xml:space="preserve"> Zmiana obciążeń regulacyjnych (w tym obowiązków informacyjnych) wynikających z projektu</w:t>
            </w:r>
          </w:p>
        </w:tc>
      </w:tr>
      <w:tr w:rsidR="00B4201C" w:rsidRPr="00442C01" w14:paraId="7F76E9C7" w14:textId="77777777" w:rsidTr="00B17DC3">
        <w:trPr>
          <w:gridAfter w:val="1"/>
          <w:wAfter w:w="10" w:type="dxa"/>
          <w:trHeight w:val="151"/>
        </w:trPr>
        <w:tc>
          <w:tcPr>
            <w:tcW w:w="10937" w:type="dxa"/>
            <w:gridSpan w:val="29"/>
            <w:shd w:val="clear" w:color="auto" w:fill="FFFFFF"/>
          </w:tcPr>
          <w:p w14:paraId="02F80225" w14:textId="77777777" w:rsidR="00B4201C" w:rsidRPr="00442C01" w:rsidRDefault="00B4201C" w:rsidP="00C761E8">
            <w:pPr>
              <w:spacing w:before="120" w:after="12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t xml:space="preserve">X </w:t>
            </w:r>
            <w:r w:rsidRPr="00442C01">
              <w:rPr>
                <w:rFonts w:ascii="Times New Roman" w:eastAsia="Calibri" w:hAnsi="Times New Roman" w:cs="Times New Roman"/>
                <w:color w:val="000000"/>
                <w:spacing w:val="-2"/>
              </w:rPr>
              <w:t>nie dotyczy</w:t>
            </w:r>
          </w:p>
        </w:tc>
      </w:tr>
      <w:tr w:rsidR="00B4201C" w:rsidRPr="00442C01" w14:paraId="6F26ADE9" w14:textId="77777777" w:rsidTr="00B17DC3">
        <w:trPr>
          <w:gridAfter w:val="1"/>
          <w:wAfter w:w="10" w:type="dxa"/>
          <w:trHeight w:val="737"/>
        </w:trPr>
        <w:tc>
          <w:tcPr>
            <w:tcW w:w="5111" w:type="dxa"/>
            <w:gridSpan w:val="13"/>
            <w:shd w:val="clear" w:color="auto" w:fill="FFFFFF"/>
          </w:tcPr>
          <w:p w14:paraId="0FF37B2C" w14:textId="77777777" w:rsidR="00B4201C" w:rsidRPr="00442C01" w:rsidRDefault="00B4201C" w:rsidP="00FD7FBA">
            <w:pPr>
              <w:spacing w:after="0" w:line="240" w:lineRule="auto"/>
              <w:rPr>
                <w:rFonts w:ascii="Times New Roman" w:eastAsia="Calibri" w:hAnsi="Times New Roman" w:cs="Times New Roman"/>
                <w:color w:val="000000"/>
                <w:spacing w:val="-2"/>
              </w:rPr>
            </w:pPr>
            <w:r w:rsidRPr="00442C01">
              <w:rPr>
                <w:rFonts w:ascii="Times New Roman" w:eastAsia="Calibri" w:hAnsi="Times New Roman" w:cs="Times New Roman"/>
                <w:color w:val="000000"/>
                <w:spacing w:val="-2"/>
              </w:rPr>
              <w:t xml:space="preserve">Wprowadzane są obciążenia poza bezwzględnie wymaganymi przez UE </w:t>
            </w:r>
            <w:r w:rsidRPr="00442C01">
              <w:rPr>
                <w:rFonts w:ascii="Times New Roman" w:eastAsia="Calibri" w:hAnsi="Times New Roman" w:cs="Times New Roman"/>
                <w:color w:val="000000"/>
              </w:rPr>
              <w:t>(szczegóły w odwróconej tabeli zgodności).</w:t>
            </w:r>
          </w:p>
        </w:tc>
        <w:tc>
          <w:tcPr>
            <w:tcW w:w="5826" w:type="dxa"/>
            <w:gridSpan w:val="16"/>
            <w:shd w:val="clear" w:color="auto" w:fill="FFFFFF"/>
          </w:tcPr>
          <w:p w14:paraId="0AC9058E" w14:textId="77777777" w:rsidR="00B4201C" w:rsidRPr="00442C01" w:rsidRDefault="00B4201C" w:rsidP="00FD7FBA">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9F7EE8">
              <w:rPr>
                <w:rFonts w:ascii="Times New Roman" w:eastAsia="Calibri" w:hAnsi="Times New Roman" w:cs="Times New Roman"/>
                <w:color w:val="000000"/>
              </w:rPr>
            </w:r>
            <w:r w:rsidR="009F7EE8">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tak</w:t>
            </w:r>
          </w:p>
          <w:p w14:paraId="5CE6BF66" w14:textId="77777777" w:rsidR="00B4201C" w:rsidRPr="00442C01" w:rsidRDefault="00B4201C" w:rsidP="00FD7FBA">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9F7EE8">
              <w:rPr>
                <w:rFonts w:ascii="Times New Roman" w:eastAsia="Calibri" w:hAnsi="Times New Roman" w:cs="Times New Roman"/>
                <w:color w:val="000000"/>
              </w:rPr>
            </w:r>
            <w:r w:rsidR="009F7EE8">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nie</w:t>
            </w:r>
          </w:p>
          <w:p w14:paraId="1B498958" w14:textId="77777777" w:rsidR="00B4201C" w:rsidRPr="00442C01" w:rsidRDefault="00B4201C" w:rsidP="00FD7FBA">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t>X  nie dotyczy</w:t>
            </w:r>
          </w:p>
        </w:tc>
      </w:tr>
      <w:tr w:rsidR="00B4201C" w:rsidRPr="00442C01" w14:paraId="71F1C5C7" w14:textId="77777777" w:rsidTr="00B17DC3">
        <w:trPr>
          <w:gridAfter w:val="1"/>
          <w:wAfter w:w="10" w:type="dxa"/>
          <w:trHeight w:val="737"/>
        </w:trPr>
        <w:tc>
          <w:tcPr>
            <w:tcW w:w="5111" w:type="dxa"/>
            <w:gridSpan w:val="13"/>
            <w:shd w:val="clear" w:color="auto" w:fill="FFFFFF"/>
          </w:tcPr>
          <w:p w14:paraId="39EAC5A5" w14:textId="77777777" w:rsidR="00B4201C" w:rsidRPr="00442C01" w:rsidRDefault="00B4201C" w:rsidP="00FD7FBA">
            <w:pPr>
              <w:spacing w:after="0" w:line="240" w:lineRule="auto"/>
              <w:rPr>
                <w:rFonts w:ascii="Times New Roman" w:eastAsia="Calibri" w:hAnsi="Times New Roman" w:cs="Times New Roman"/>
                <w:color w:val="000000"/>
                <w:spacing w:val="-2"/>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9F7EE8">
              <w:rPr>
                <w:rFonts w:ascii="Times New Roman" w:eastAsia="Calibri" w:hAnsi="Times New Roman" w:cs="Times New Roman"/>
                <w:color w:val="000000"/>
              </w:rPr>
            </w:r>
            <w:r w:rsidR="009F7EE8">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 xml:space="preserve">zmniejszenie liczby dokumentów </w:t>
            </w:r>
          </w:p>
          <w:p w14:paraId="7EAD2A79" w14:textId="77777777" w:rsidR="00B4201C" w:rsidRPr="00442C01" w:rsidRDefault="00B4201C" w:rsidP="00FD7FBA">
            <w:pPr>
              <w:spacing w:after="0" w:line="240" w:lineRule="auto"/>
              <w:rPr>
                <w:rFonts w:ascii="Times New Roman" w:eastAsia="Calibri" w:hAnsi="Times New Roman" w:cs="Times New Roman"/>
                <w:color w:val="000000"/>
                <w:spacing w:val="-2"/>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9F7EE8">
              <w:rPr>
                <w:rFonts w:ascii="Times New Roman" w:eastAsia="Calibri" w:hAnsi="Times New Roman" w:cs="Times New Roman"/>
                <w:color w:val="000000"/>
              </w:rPr>
            </w:r>
            <w:r w:rsidR="009F7EE8">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zmniejszenie liczby procedur</w:t>
            </w:r>
          </w:p>
          <w:p w14:paraId="54435480" w14:textId="77777777" w:rsidR="00B4201C" w:rsidRPr="00442C01" w:rsidRDefault="00B4201C" w:rsidP="00FD7FBA">
            <w:pPr>
              <w:spacing w:after="0" w:line="240" w:lineRule="auto"/>
              <w:rPr>
                <w:rFonts w:ascii="Times New Roman" w:eastAsia="Calibri" w:hAnsi="Times New Roman" w:cs="Times New Roman"/>
                <w:color w:val="000000"/>
                <w:spacing w:val="-2"/>
              </w:rPr>
            </w:pPr>
            <w:r w:rsidRPr="00442C01">
              <w:rPr>
                <w:rFonts w:ascii="Times New Roman" w:eastAsia="Calibri" w:hAnsi="Times New Roman" w:cs="Times New Roman"/>
                <w:color w:val="000000"/>
              </w:rPr>
              <w:fldChar w:fldCharType="begin">
                <w:ffData>
                  <w:name w:val=""/>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9F7EE8">
              <w:rPr>
                <w:rFonts w:ascii="Times New Roman" w:eastAsia="Calibri" w:hAnsi="Times New Roman" w:cs="Times New Roman"/>
                <w:color w:val="000000"/>
              </w:rPr>
            </w:r>
            <w:r w:rsidR="009F7EE8">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skrócenie czasu na załatwienie sprawy</w:t>
            </w:r>
          </w:p>
          <w:p w14:paraId="360D85BF" w14:textId="77777777" w:rsidR="00B4201C" w:rsidRPr="00442C01" w:rsidRDefault="00B4201C" w:rsidP="00FD7FBA">
            <w:pPr>
              <w:spacing w:after="0" w:line="240" w:lineRule="auto"/>
              <w:rPr>
                <w:rFonts w:ascii="Times New Roman" w:eastAsia="Calibri" w:hAnsi="Times New Roman" w:cs="Times New Roman"/>
                <w:b/>
                <w:color w:val="000000"/>
                <w:spacing w:val="-2"/>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9F7EE8">
              <w:rPr>
                <w:rFonts w:ascii="Times New Roman" w:eastAsia="Calibri" w:hAnsi="Times New Roman" w:cs="Times New Roman"/>
                <w:color w:val="000000"/>
              </w:rPr>
            </w:r>
            <w:r w:rsidR="009F7EE8">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inne:</w:t>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442C01">
              <w:rPr>
                <w:rFonts w:ascii="Times New Roman" w:eastAsia="Calibri" w:hAnsi="Times New Roman" w:cs="Times New Roman"/>
                <w:color w:val="000000"/>
              </w:rPr>
              <w:instrText xml:space="preserve"> FORMTEXT </w:instrText>
            </w:r>
            <w:r w:rsidRPr="00442C01">
              <w:rPr>
                <w:rFonts w:ascii="Times New Roman" w:eastAsia="Calibri" w:hAnsi="Times New Roman" w:cs="Times New Roman"/>
                <w:color w:val="000000"/>
              </w:rPr>
            </w:r>
            <w:r w:rsidRPr="00442C01">
              <w:rPr>
                <w:rFonts w:ascii="Times New Roman" w:eastAsia="Calibri" w:hAnsi="Times New Roman" w:cs="Times New Roman"/>
                <w:color w:val="000000"/>
              </w:rPr>
              <w:fldChar w:fldCharType="separate"/>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color w:val="000000"/>
              </w:rPr>
              <w:fldChar w:fldCharType="end"/>
            </w:r>
          </w:p>
        </w:tc>
        <w:tc>
          <w:tcPr>
            <w:tcW w:w="5826" w:type="dxa"/>
            <w:gridSpan w:val="16"/>
            <w:shd w:val="clear" w:color="auto" w:fill="FFFFFF"/>
          </w:tcPr>
          <w:p w14:paraId="3FD0C2A9" w14:textId="77777777" w:rsidR="00B4201C" w:rsidRPr="00442C01" w:rsidRDefault="00B4201C" w:rsidP="00FD7FBA">
            <w:pPr>
              <w:spacing w:after="0" w:line="240" w:lineRule="auto"/>
              <w:rPr>
                <w:rFonts w:ascii="Times New Roman" w:eastAsia="Calibri" w:hAnsi="Times New Roman" w:cs="Times New Roman"/>
                <w:color w:val="000000"/>
                <w:spacing w:val="-2"/>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9F7EE8">
              <w:rPr>
                <w:rFonts w:ascii="Times New Roman" w:eastAsia="Calibri" w:hAnsi="Times New Roman" w:cs="Times New Roman"/>
                <w:color w:val="000000"/>
              </w:rPr>
            </w:r>
            <w:r w:rsidR="009F7EE8">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zwiększenie liczby dokumentów</w:t>
            </w:r>
          </w:p>
          <w:p w14:paraId="46C891CE" w14:textId="77777777" w:rsidR="00B4201C" w:rsidRPr="00442C01" w:rsidRDefault="00B4201C" w:rsidP="00FD7FBA">
            <w:pPr>
              <w:spacing w:after="0" w:line="240" w:lineRule="auto"/>
              <w:rPr>
                <w:rFonts w:ascii="Times New Roman" w:eastAsia="Calibri" w:hAnsi="Times New Roman" w:cs="Times New Roman"/>
                <w:color w:val="000000"/>
                <w:spacing w:val="-2"/>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9F7EE8">
              <w:rPr>
                <w:rFonts w:ascii="Times New Roman" w:eastAsia="Calibri" w:hAnsi="Times New Roman" w:cs="Times New Roman"/>
                <w:color w:val="000000"/>
              </w:rPr>
            </w:r>
            <w:r w:rsidR="009F7EE8">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zwiększenie liczby procedur</w:t>
            </w:r>
          </w:p>
          <w:p w14:paraId="178E5F75" w14:textId="77777777" w:rsidR="00B4201C" w:rsidRPr="00442C01" w:rsidRDefault="00B4201C" w:rsidP="00FD7FBA">
            <w:pPr>
              <w:spacing w:after="0" w:line="240" w:lineRule="auto"/>
              <w:rPr>
                <w:rFonts w:ascii="Times New Roman" w:eastAsia="Calibri" w:hAnsi="Times New Roman" w:cs="Times New Roman"/>
                <w:color w:val="000000"/>
                <w:spacing w:val="-2"/>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9F7EE8">
              <w:rPr>
                <w:rFonts w:ascii="Times New Roman" w:eastAsia="Calibri" w:hAnsi="Times New Roman" w:cs="Times New Roman"/>
                <w:color w:val="000000"/>
              </w:rPr>
            </w:r>
            <w:r w:rsidR="009F7EE8">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wydłużenie czasu na załatwienie sprawy</w:t>
            </w:r>
          </w:p>
          <w:p w14:paraId="4BF0DA41" w14:textId="77777777" w:rsidR="00B4201C" w:rsidRPr="00442C01" w:rsidRDefault="00B4201C" w:rsidP="00FD7FBA">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9F7EE8">
              <w:rPr>
                <w:rFonts w:ascii="Times New Roman" w:eastAsia="Calibri" w:hAnsi="Times New Roman" w:cs="Times New Roman"/>
                <w:color w:val="000000"/>
              </w:rPr>
            </w:r>
            <w:r w:rsidR="009F7EE8">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inne:</w:t>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442C01">
              <w:rPr>
                <w:rFonts w:ascii="Times New Roman" w:eastAsia="Calibri" w:hAnsi="Times New Roman" w:cs="Times New Roman"/>
                <w:color w:val="000000"/>
              </w:rPr>
              <w:instrText xml:space="preserve"> FORMTEXT </w:instrText>
            </w:r>
            <w:r w:rsidRPr="00442C01">
              <w:rPr>
                <w:rFonts w:ascii="Times New Roman" w:eastAsia="Calibri" w:hAnsi="Times New Roman" w:cs="Times New Roman"/>
                <w:color w:val="000000"/>
              </w:rPr>
            </w:r>
            <w:r w:rsidRPr="00442C01">
              <w:rPr>
                <w:rFonts w:ascii="Times New Roman" w:eastAsia="Calibri" w:hAnsi="Times New Roman" w:cs="Times New Roman"/>
                <w:color w:val="000000"/>
              </w:rPr>
              <w:fldChar w:fldCharType="separate"/>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color w:val="000000"/>
              </w:rPr>
              <w:fldChar w:fldCharType="end"/>
            </w:r>
          </w:p>
        </w:tc>
      </w:tr>
      <w:tr w:rsidR="00B4201C" w:rsidRPr="00442C01" w14:paraId="72B6272E" w14:textId="77777777" w:rsidTr="00B17DC3">
        <w:trPr>
          <w:gridAfter w:val="1"/>
          <w:wAfter w:w="10" w:type="dxa"/>
          <w:trHeight w:val="737"/>
        </w:trPr>
        <w:tc>
          <w:tcPr>
            <w:tcW w:w="5111" w:type="dxa"/>
            <w:gridSpan w:val="13"/>
            <w:shd w:val="clear" w:color="auto" w:fill="FFFFFF"/>
          </w:tcPr>
          <w:p w14:paraId="633D5F26" w14:textId="77777777" w:rsidR="00B4201C" w:rsidRPr="00442C01" w:rsidRDefault="00B4201C" w:rsidP="00FD7FBA">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spacing w:val="-2"/>
              </w:rPr>
              <w:t xml:space="preserve">Wprowadzane obciążenia są przystosowane do ich elektronizacji. </w:t>
            </w:r>
          </w:p>
        </w:tc>
        <w:tc>
          <w:tcPr>
            <w:tcW w:w="5826" w:type="dxa"/>
            <w:gridSpan w:val="16"/>
            <w:shd w:val="clear" w:color="auto" w:fill="FFFFFF"/>
          </w:tcPr>
          <w:p w14:paraId="44781862" w14:textId="77777777" w:rsidR="00B4201C" w:rsidRPr="00442C01" w:rsidRDefault="00B4201C" w:rsidP="00FD7FBA">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9F7EE8">
              <w:rPr>
                <w:rFonts w:ascii="Times New Roman" w:eastAsia="Calibri" w:hAnsi="Times New Roman" w:cs="Times New Roman"/>
                <w:color w:val="000000"/>
              </w:rPr>
            </w:r>
            <w:r w:rsidR="009F7EE8">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tak</w:t>
            </w:r>
          </w:p>
          <w:p w14:paraId="4E4C50CD" w14:textId="77777777" w:rsidR="00B4201C" w:rsidRPr="00442C01" w:rsidRDefault="00B4201C" w:rsidP="00FD7FBA">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9F7EE8">
              <w:rPr>
                <w:rFonts w:ascii="Times New Roman" w:eastAsia="Calibri" w:hAnsi="Times New Roman" w:cs="Times New Roman"/>
                <w:color w:val="000000"/>
              </w:rPr>
            </w:r>
            <w:r w:rsidR="009F7EE8">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nie</w:t>
            </w:r>
          </w:p>
          <w:p w14:paraId="60C4A336" w14:textId="77777777" w:rsidR="00B4201C" w:rsidRPr="00442C01" w:rsidRDefault="00B4201C" w:rsidP="00FD7FBA">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9F7EE8">
              <w:rPr>
                <w:rFonts w:ascii="Times New Roman" w:eastAsia="Calibri" w:hAnsi="Times New Roman" w:cs="Times New Roman"/>
                <w:color w:val="000000"/>
              </w:rPr>
            </w:r>
            <w:r w:rsidR="009F7EE8">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nie dotyczy</w:t>
            </w:r>
          </w:p>
        </w:tc>
      </w:tr>
      <w:tr w:rsidR="00B4201C" w:rsidRPr="00442C01" w14:paraId="0856A9AD" w14:textId="77777777" w:rsidTr="00B17DC3">
        <w:trPr>
          <w:gridAfter w:val="1"/>
          <w:wAfter w:w="10" w:type="dxa"/>
          <w:trHeight w:val="320"/>
        </w:trPr>
        <w:tc>
          <w:tcPr>
            <w:tcW w:w="10937" w:type="dxa"/>
            <w:gridSpan w:val="29"/>
            <w:shd w:val="clear" w:color="auto" w:fill="FFFFFF"/>
          </w:tcPr>
          <w:p w14:paraId="510A0460" w14:textId="77777777" w:rsidR="00B4201C" w:rsidRPr="00442C01" w:rsidRDefault="00B4201C" w:rsidP="00C761E8">
            <w:pPr>
              <w:spacing w:before="120" w:after="120" w:line="240" w:lineRule="auto"/>
              <w:jc w:val="both"/>
              <w:rPr>
                <w:rFonts w:ascii="Times New Roman" w:eastAsia="Calibri" w:hAnsi="Times New Roman" w:cs="Times New Roman"/>
                <w:color w:val="000000"/>
              </w:rPr>
            </w:pPr>
            <w:r w:rsidRPr="00442C01">
              <w:rPr>
                <w:rFonts w:ascii="Times New Roman" w:eastAsia="Calibri" w:hAnsi="Times New Roman" w:cs="Times New Roman"/>
                <w:color w:val="000000"/>
              </w:rPr>
              <w:t>Komentarz: Brak.</w:t>
            </w:r>
          </w:p>
        </w:tc>
      </w:tr>
      <w:tr w:rsidR="00B4201C" w:rsidRPr="00442C01" w14:paraId="500A85D6" w14:textId="77777777" w:rsidTr="00B17DC3">
        <w:trPr>
          <w:gridAfter w:val="1"/>
          <w:wAfter w:w="10" w:type="dxa"/>
          <w:trHeight w:val="142"/>
        </w:trPr>
        <w:tc>
          <w:tcPr>
            <w:tcW w:w="10937" w:type="dxa"/>
            <w:gridSpan w:val="29"/>
            <w:shd w:val="clear" w:color="auto" w:fill="99CCFF"/>
          </w:tcPr>
          <w:p w14:paraId="7FB7FA4E" w14:textId="77777777" w:rsidR="00B4201C" w:rsidRPr="00442C01" w:rsidRDefault="00B4201C" w:rsidP="00C761E8">
            <w:pPr>
              <w:numPr>
                <w:ilvl w:val="0"/>
                <w:numId w:val="1"/>
              </w:numPr>
              <w:spacing w:before="120" w:after="120" w:line="240" w:lineRule="auto"/>
              <w:jc w:val="both"/>
              <w:rPr>
                <w:rFonts w:ascii="Times New Roman" w:eastAsia="Calibri" w:hAnsi="Times New Roman" w:cs="Times New Roman"/>
                <w:b/>
                <w:color w:val="000000"/>
              </w:rPr>
            </w:pPr>
            <w:r w:rsidRPr="00442C01">
              <w:rPr>
                <w:rFonts w:ascii="Times New Roman" w:eastAsia="Calibri" w:hAnsi="Times New Roman" w:cs="Times New Roman"/>
                <w:b/>
                <w:color w:val="000000"/>
              </w:rPr>
              <w:t xml:space="preserve">Wpływ na rynek pracy </w:t>
            </w:r>
          </w:p>
        </w:tc>
      </w:tr>
      <w:tr w:rsidR="00B4201C" w:rsidRPr="00442C01" w14:paraId="7B880048" w14:textId="77777777" w:rsidTr="00B17DC3">
        <w:trPr>
          <w:gridAfter w:val="1"/>
          <w:wAfter w:w="10" w:type="dxa"/>
          <w:trHeight w:val="490"/>
        </w:trPr>
        <w:tc>
          <w:tcPr>
            <w:tcW w:w="10937" w:type="dxa"/>
            <w:gridSpan w:val="29"/>
            <w:shd w:val="clear" w:color="auto" w:fill="auto"/>
          </w:tcPr>
          <w:p w14:paraId="3EBD3431" w14:textId="77777777" w:rsidR="00B4201C" w:rsidRPr="00442C01" w:rsidRDefault="00FD7FBA" w:rsidP="00C761E8">
            <w:pPr>
              <w:spacing w:before="120" w:after="120" w:line="240" w:lineRule="auto"/>
              <w:jc w:val="both"/>
              <w:rPr>
                <w:rFonts w:ascii="Times New Roman" w:eastAsia="Calibri" w:hAnsi="Times New Roman" w:cs="Times New Roman"/>
              </w:rPr>
            </w:pPr>
            <w:r>
              <w:rPr>
                <w:rFonts w:ascii="Times New Roman" w:eastAsia="Calibri" w:hAnsi="Times New Roman" w:cs="Times New Roman"/>
              </w:rPr>
              <w:t>Brak bezpośredniego wpływu na rynek pracy. Personel medyczny realizujący świadczenia nabywa kompetencje w zakresie stosowania nowych metod diagnostycznych i terapeutycznych.</w:t>
            </w:r>
          </w:p>
        </w:tc>
      </w:tr>
      <w:tr w:rsidR="00B4201C" w:rsidRPr="00442C01" w14:paraId="609FBBE0" w14:textId="77777777" w:rsidTr="00B17DC3">
        <w:trPr>
          <w:gridAfter w:val="1"/>
          <w:wAfter w:w="10" w:type="dxa"/>
          <w:trHeight w:val="142"/>
        </w:trPr>
        <w:tc>
          <w:tcPr>
            <w:tcW w:w="10937" w:type="dxa"/>
            <w:gridSpan w:val="29"/>
            <w:shd w:val="clear" w:color="auto" w:fill="99CCFF"/>
          </w:tcPr>
          <w:p w14:paraId="2B7FCB1C" w14:textId="77777777" w:rsidR="00B4201C" w:rsidRPr="00442C01" w:rsidRDefault="00B4201C" w:rsidP="00C761E8">
            <w:pPr>
              <w:numPr>
                <w:ilvl w:val="0"/>
                <w:numId w:val="1"/>
              </w:numPr>
              <w:spacing w:before="120" w:after="120" w:line="240" w:lineRule="auto"/>
              <w:jc w:val="both"/>
              <w:rPr>
                <w:rFonts w:ascii="Times New Roman" w:eastAsia="Calibri" w:hAnsi="Times New Roman" w:cs="Times New Roman"/>
                <w:b/>
                <w:color w:val="000000"/>
              </w:rPr>
            </w:pPr>
            <w:r w:rsidRPr="00442C01">
              <w:rPr>
                <w:rFonts w:ascii="Times New Roman" w:eastAsia="Calibri" w:hAnsi="Times New Roman" w:cs="Times New Roman"/>
                <w:b/>
                <w:color w:val="000000"/>
              </w:rPr>
              <w:t>Wpływ na pozostałe obszary</w:t>
            </w:r>
          </w:p>
        </w:tc>
      </w:tr>
      <w:tr w:rsidR="00B4201C" w:rsidRPr="00442C01" w14:paraId="0C908977" w14:textId="77777777" w:rsidTr="00B17DC3">
        <w:trPr>
          <w:gridAfter w:val="1"/>
          <w:wAfter w:w="10" w:type="dxa"/>
          <w:trHeight w:val="737"/>
        </w:trPr>
        <w:tc>
          <w:tcPr>
            <w:tcW w:w="3547" w:type="dxa"/>
            <w:gridSpan w:val="6"/>
            <w:shd w:val="clear" w:color="auto" w:fill="FFFFFF"/>
          </w:tcPr>
          <w:p w14:paraId="6AF75DE2" w14:textId="77777777" w:rsidR="00B4201C" w:rsidRPr="00442C01" w:rsidRDefault="00B4201C" w:rsidP="005A3B1E">
            <w:pPr>
              <w:spacing w:after="0" w:line="240" w:lineRule="auto"/>
              <w:rPr>
                <w:rFonts w:ascii="Times New Roman" w:eastAsia="Calibri" w:hAnsi="Times New Roman" w:cs="Times New Roman"/>
                <w:color w:val="000000"/>
                <w:spacing w:val="-2"/>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9F7EE8">
              <w:rPr>
                <w:rFonts w:ascii="Times New Roman" w:eastAsia="Calibri" w:hAnsi="Times New Roman" w:cs="Times New Roman"/>
                <w:color w:val="000000"/>
              </w:rPr>
            </w:r>
            <w:r w:rsidR="009F7EE8">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środowisko naturalne</w:t>
            </w:r>
          </w:p>
          <w:p w14:paraId="2ED99B51" w14:textId="77777777" w:rsidR="00B4201C" w:rsidRPr="00442C01" w:rsidRDefault="00B4201C" w:rsidP="005A3B1E">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fldChar w:fldCharType="begin">
                <w:ffData>
                  <w:name w:val=""/>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9F7EE8">
              <w:rPr>
                <w:rFonts w:ascii="Times New Roman" w:eastAsia="Calibri" w:hAnsi="Times New Roman" w:cs="Times New Roman"/>
                <w:color w:val="000000"/>
              </w:rPr>
            </w:r>
            <w:r w:rsidR="009F7EE8">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sytuacja i rozwój regionalny</w:t>
            </w:r>
          </w:p>
          <w:p w14:paraId="6D2841C6" w14:textId="77777777" w:rsidR="00B4201C" w:rsidRPr="00442C01" w:rsidRDefault="00B4201C" w:rsidP="005A3B1E">
            <w:pPr>
              <w:spacing w:after="0" w:line="240" w:lineRule="auto"/>
              <w:rPr>
                <w:rFonts w:ascii="Times New Roman" w:eastAsia="Calibri" w:hAnsi="Times New Roman" w:cs="Times New Roman"/>
                <w:color w:val="000000"/>
                <w:spacing w:val="-2"/>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9F7EE8">
              <w:rPr>
                <w:rFonts w:ascii="Times New Roman" w:eastAsia="Calibri" w:hAnsi="Times New Roman" w:cs="Times New Roman"/>
                <w:color w:val="000000"/>
              </w:rPr>
            </w:r>
            <w:r w:rsidR="009F7EE8">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 xml:space="preserve">inne: </w:t>
            </w:r>
            <w:r w:rsidRPr="00442C01">
              <w:rPr>
                <w:rFonts w:ascii="Times New Roman" w:eastAsia="Calibri" w:hAnsi="Times New Roman"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442C01">
              <w:rPr>
                <w:rFonts w:ascii="Times New Roman" w:eastAsia="Calibri" w:hAnsi="Times New Roman" w:cs="Times New Roman"/>
                <w:color w:val="000000"/>
              </w:rPr>
              <w:instrText xml:space="preserve"> FORMTEXT </w:instrText>
            </w:r>
            <w:r w:rsidRPr="00442C01">
              <w:rPr>
                <w:rFonts w:ascii="Times New Roman" w:eastAsia="Calibri" w:hAnsi="Times New Roman" w:cs="Times New Roman"/>
                <w:color w:val="000000"/>
              </w:rPr>
            </w:r>
            <w:r w:rsidRPr="00442C01">
              <w:rPr>
                <w:rFonts w:ascii="Times New Roman" w:eastAsia="Calibri" w:hAnsi="Times New Roman" w:cs="Times New Roman"/>
                <w:color w:val="000000"/>
              </w:rPr>
              <w:fldChar w:fldCharType="separate"/>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color w:val="000000"/>
              </w:rPr>
              <w:fldChar w:fldCharType="end"/>
            </w:r>
          </w:p>
        </w:tc>
        <w:tc>
          <w:tcPr>
            <w:tcW w:w="3687" w:type="dxa"/>
            <w:gridSpan w:val="14"/>
            <w:shd w:val="clear" w:color="auto" w:fill="FFFFFF"/>
          </w:tcPr>
          <w:p w14:paraId="3C70307B" w14:textId="77777777" w:rsidR="00B4201C" w:rsidRPr="00442C01" w:rsidRDefault="00B4201C" w:rsidP="005A3B1E">
            <w:pPr>
              <w:spacing w:after="0" w:line="240" w:lineRule="auto"/>
              <w:rPr>
                <w:rFonts w:ascii="Times New Roman" w:eastAsia="Calibri" w:hAnsi="Times New Roman" w:cs="Times New Roman"/>
                <w:color w:val="000000"/>
                <w:spacing w:val="-2"/>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9F7EE8">
              <w:rPr>
                <w:rFonts w:ascii="Times New Roman" w:eastAsia="Calibri" w:hAnsi="Times New Roman" w:cs="Times New Roman"/>
                <w:color w:val="000000"/>
              </w:rPr>
            </w:r>
            <w:r w:rsidR="009F7EE8">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demografia</w:t>
            </w:r>
          </w:p>
          <w:p w14:paraId="3700B9B9" w14:textId="77777777" w:rsidR="00B4201C" w:rsidRPr="00442C01" w:rsidRDefault="00B4201C" w:rsidP="005A3B1E">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fldChar w:fldCharType="begin">
                <w:ffData>
                  <w:name w:val=""/>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9F7EE8">
              <w:rPr>
                <w:rFonts w:ascii="Times New Roman" w:eastAsia="Calibri" w:hAnsi="Times New Roman" w:cs="Times New Roman"/>
                <w:color w:val="000000"/>
              </w:rPr>
            </w:r>
            <w:r w:rsidR="009F7EE8">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mienie państwowe</w:t>
            </w:r>
          </w:p>
        </w:tc>
        <w:tc>
          <w:tcPr>
            <w:tcW w:w="3703" w:type="dxa"/>
            <w:gridSpan w:val="9"/>
            <w:shd w:val="clear" w:color="auto" w:fill="FFFFFF"/>
          </w:tcPr>
          <w:p w14:paraId="31E1BC49" w14:textId="77777777" w:rsidR="00B4201C" w:rsidRPr="00442C01" w:rsidRDefault="00B4201C" w:rsidP="005A3B1E">
            <w:pPr>
              <w:spacing w:after="0" w:line="240" w:lineRule="auto"/>
              <w:rPr>
                <w:rFonts w:ascii="Times New Roman" w:eastAsia="Calibri" w:hAnsi="Times New Roman" w:cs="Times New Roman"/>
                <w:color w:val="000000"/>
                <w:spacing w:val="-2"/>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9F7EE8">
              <w:rPr>
                <w:rFonts w:ascii="Times New Roman" w:eastAsia="Calibri" w:hAnsi="Times New Roman" w:cs="Times New Roman"/>
                <w:color w:val="000000"/>
              </w:rPr>
            </w:r>
            <w:r w:rsidR="009F7EE8">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informatyzacja</w:t>
            </w:r>
          </w:p>
          <w:p w14:paraId="3C00FA56" w14:textId="77777777" w:rsidR="00B4201C" w:rsidRPr="00442C01" w:rsidRDefault="00B4201C" w:rsidP="005A3B1E">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t xml:space="preserve">X  </w:t>
            </w:r>
            <w:r w:rsidRPr="00442C01">
              <w:rPr>
                <w:rFonts w:ascii="Times New Roman" w:eastAsia="Calibri" w:hAnsi="Times New Roman" w:cs="Times New Roman"/>
                <w:color w:val="000000"/>
                <w:spacing w:val="-2"/>
              </w:rPr>
              <w:t>zdrowie</w:t>
            </w:r>
          </w:p>
        </w:tc>
      </w:tr>
      <w:tr w:rsidR="00B4201C" w:rsidRPr="00442C01" w14:paraId="77BBEFCD" w14:textId="77777777" w:rsidTr="00B17DC3">
        <w:trPr>
          <w:gridAfter w:val="1"/>
          <w:wAfter w:w="10" w:type="dxa"/>
          <w:trHeight w:val="712"/>
        </w:trPr>
        <w:tc>
          <w:tcPr>
            <w:tcW w:w="1589" w:type="dxa"/>
            <w:shd w:val="clear" w:color="auto" w:fill="FFFFFF"/>
            <w:vAlign w:val="center"/>
          </w:tcPr>
          <w:p w14:paraId="1FF65401" w14:textId="77777777" w:rsidR="00B4201C" w:rsidRPr="00442C01" w:rsidRDefault="00B4201C" w:rsidP="005A3B1E">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t>Omówienie wpływu</w:t>
            </w:r>
          </w:p>
        </w:tc>
        <w:tc>
          <w:tcPr>
            <w:tcW w:w="9348" w:type="dxa"/>
            <w:gridSpan w:val="28"/>
            <w:shd w:val="clear" w:color="auto" w:fill="FFFFFF"/>
            <w:vAlign w:val="center"/>
          </w:tcPr>
          <w:p w14:paraId="48015F90" w14:textId="77777777" w:rsidR="00B4201C" w:rsidRPr="00442C01" w:rsidRDefault="005A3B1E" w:rsidP="005A3B1E">
            <w:pPr>
              <w:spacing w:after="0" w:line="240" w:lineRule="auto"/>
              <w:ind w:right="272"/>
              <w:jc w:val="both"/>
              <w:outlineLvl w:val="0"/>
              <w:rPr>
                <w:rFonts w:ascii="Times New Roman" w:eastAsia="Calibri" w:hAnsi="Times New Roman" w:cs="Times New Roman"/>
              </w:rPr>
            </w:pPr>
            <w:r w:rsidRPr="00A64621">
              <w:rPr>
                <w:rFonts w:ascii="Times New Roman" w:eastAsia="Calibri" w:hAnsi="Times New Roman" w:cs="Times New Roman"/>
              </w:rPr>
              <w:t>Projektowane rozporządzenie wprowadza rozwiązania, które wpły</w:t>
            </w:r>
            <w:r>
              <w:rPr>
                <w:rFonts w:ascii="Times New Roman" w:eastAsia="Calibri" w:hAnsi="Times New Roman" w:cs="Times New Roman"/>
              </w:rPr>
              <w:t xml:space="preserve">ną pozytywnie na zdrowie dzieci, </w:t>
            </w:r>
            <w:r w:rsidRPr="00A64621">
              <w:rPr>
                <w:rFonts w:ascii="Times New Roman" w:eastAsia="Calibri" w:hAnsi="Times New Roman" w:cs="Times New Roman"/>
              </w:rPr>
              <w:t>młodzieży</w:t>
            </w:r>
            <w:r>
              <w:rPr>
                <w:rFonts w:ascii="Times New Roman" w:eastAsia="Calibri" w:hAnsi="Times New Roman" w:cs="Times New Roman"/>
              </w:rPr>
              <w:t xml:space="preserve"> i osób dorosłych</w:t>
            </w:r>
            <w:r w:rsidRPr="00A64621">
              <w:rPr>
                <w:rFonts w:ascii="Times New Roman" w:eastAsia="Calibri" w:hAnsi="Times New Roman" w:cs="Times New Roman"/>
              </w:rPr>
              <w:t xml:space="preserve"> przy jednoczesnym zapewnieniu bezpieczeństwa pacjenta oraz zachowaniu odpowiedniej jakości świadczeń.</w:t>
            </w:r>
          </w:p>
        </w:tc>
      </w:tr>
      <w:tr w:rsidR="00B4201C" w:rsidRPr="00442C01" w14:paraId="07943D77" w14:textId="77777777" w:rsidTr="00B17DC3">
        <w:trPr>
          <w:gridAfter w:val="1"/>
          <w:wAfter w:w="10" w:type="dxa"/>
          <w:trHeight w:val="142"/>
        </w:trPr>
        <w:tc>
          <w:tcPr>
            <w:tcW w:w="10937" w:type="dxa"/>
            <w:gridSpan w:val="29"/>
            <w:shd w:val="clear" w:color="auto" w:fill="99CCFF"/>
          </w:tcPr>
          <w:p w14:paraId="7FEB792A" w14:textId="77777777" w:rsidR="00B4201C" w:rsidRPr="00442C01" w:rsidRDefault="00B4201C" w:rsidP="00C761E8">
            <w:pPr>
              <w:numPr>
                <w:ilvl w:val="0"/>
                <w:numId w:val="1"/>
              </w:numPr>
              <w:spacing w:before="120" w:after="120" w:line="240" w:lineRule="auto"/>
              <w:ind w:left="318" w:hanging="284"/>
              <w:jc w:val="both"/>
              <w:rPr>
                <w:rFonts w:ascii="Times New Roman" w:eastAsia="Calibri" w:hAnsi="Times New Roman" w:cs="Times New Roman"/>
                <w:b/>
              </w:rPr>
            </w:pPr>
            <w:r w:rsidRPr="00442C01">
              <w:rPr>
                <w:rFonts w:ascii="Times New Roman" w:eastAsia="Calibri" w:hAnsi="Times New Roman" w:cs="Times New Roman"/>
                <w:b/>
                <w:spacing w:val="-2"/>
              </w:rPr>
              <w:t>Planowane wykonanie przepisów aktu prawnego</w:t>
            </w:r>
          </w:p>
        </w:tc>
      </w:tr>
      <w:tr w:rsidR="00B4201C" w:rsidRPr="00442C01" w14:paraId="67DE9BC4" w14:textId="77777777" w:rsidTr="00B17DC3">
        <w:trPr>
          <w:gridAfter w:val="1"/>
          <w:wAfter w:w="10" w:type="dxa"/>
          <w:trHeight w:val="588"/>
        </w:trPr>
        <w:tc>
          <w:tcPr>
            <w:tcW w:w="10937" w:type="dxa"/>
            <w:gridSpan w:val="29"/>
            <w:shd w:val="clear" w:color="auto" w:fill="FFFFFF"/>
          </w:tcPr>
          <w:p w14:paraId="5D06C5C9" w14:textId="556693BB" w:rsidR="00B4201C" w:rsidRPr="00442C01" w:rsidRDefault="00EA5058" w:rsidP="00FB4812">
            <w:pPr>
              <w:suppressAutoHyphens/>
              <w:autoSpaceDE w:val="0"/>
              <w:autoSpaceDN w:val="0"/>
              <w:adjustRightInd w:val="0"/>
              <w:spacing w:before="120" w:after="120" w:line="360" w:lineRule="auto"/>
              <w:jc w:val="both"/>
              <w:rPr>
                <w:rFonts w:ascii="Times New Roman" w:eastAsia="Times New Roman" w:hAnsi="Times New Roman" w:cs="Times New Roman"/>
                <w:lang w:eastAsia="pl-PL"/>
              </w:rPr>
            </w:pPr>
            <w:r w:rsidRPr="00442C01">
              <w:rPr>
                <w:rFonts w:ascii="Times New Roman" w:eastAsia="Times New Roman" w:hAnsi="Times New Roman" w:cs="Times New Roman"/>
                <w:color w:val="000000"/>
                <w:lang w:eastAsia="pl-PL"/>
              </w:rPr>
              <w:t xml:space="preserve">Przewidziany w projekcie termin wejścia w życie rozporządzenia to dzień 1 </w:t>
            </w:r>
            <w:r w:rsidR="00FB4812">
              <w:rPr>
                <w:rFonts w:ascii="Times New Roman" w:eastAsia="Times New Roman" w:hAnsi="Times New Roman" w:cs="Times New Roman"/>
                <w:color w:val="000000"/>
                <w:lang w:eastAsia="pl-PL"/>
              </w:rPr>
              <w:t>kwietnia</w:t>
            </w:r>
            <w:r w:rsidR="00174C75">
              <w:rPr>
                <w:rFonts w:ascii="Times New Roman" w:eastAsia="Times New Roman" w:hAnsi="Times New Roman" w:cs="Times New Roman"/>
                <w:color w:val="000000"/>
                <w:lang w:eastAsia="pl-PL"/>
              </w:rPr>
              <w:t xml:space="preserve"> </w:t>
            </w:r>
            <w:r w:rsidRPr="00442C01">
              <w:rPr>
                <w:rFonts w:ascii="Times New Roman" w:eastAsia="Times New Roman" w:hAnsi="Times New Roman" w:cs="Times New Roman"/>
                <w:color w:val="000000"/>
                <w:lang w:eastAsia="pl-PL"/>
              </w:rPr>
              <w:t>201</w:t>
            </w:r>
            <w:r w:rsidR="00FD7FBA">
              <w:rPr>
                <w:rFonts w:ascii="Times New Roman" w:eastAsia="Times New Roman" w:hAnsi="Times New Roman" w:cs="Times New Roman"/>
                <w:color w:val="000000"/>
                <w:lang w:eastAsia="pl-PL"/>
              </w:rPr>
              <w:t>8</w:t>
            </w:r>
            <w:r w:rsidRPr="00442C01">
              <w:rPr>
                <w:rFonts w:ascii="Times New Roman" w:eastAsia="Times New Roman" w:hAnsi="Times New Roman" w:cs="Times New Roman"/>
                <w:color w:val="000000"/>
                <w:lang w:eastAsia="pl-PL"/>
              </w:rPr>
              <w:t xml:space="preserve"> r.</w:t>
            </w:r>
          </w:p>
        </w:tc>
      </w:tr>
      <w:tr w:rsidR="00B4201C" w:rsidRPr="00442C01" w14:paraId="4A37127A" w14:textId="77777777" w:rsidTr="00B17DC3">
        <w:trPr>
          <w:gridAfter w:val="1"/>
          <w:wAfter w:w="10" w:type="dxa"/>
          <w:trHeight w:val="142"/>
        </w:trPr>
        <w:tc>
          <w:tcPr>
            <w:tcW w:w="10937" w:type="dxa"/>
            <w:gridSpan w:val="29"/>
            <w:shd w:val="clear" w:color="auto" w:fill="99CCFF"/>
          </w:tcPr>
          <w:p w14:paraId="620A8FAF" w14:textId="77777777" w:rsidR="00B4201C" w:rsidRPr="00442C01" w:rsidRDefault="00B4201C" w:rsidP="00C761E8">
            <w:pPr>
              <w:numPr>
                <w:ilvl w:val="0"/>
                <w:numId w:val="1"/>
              </w:numPr>
              <w:spacing w:before="120" w:after="120" w:line="240" w:lineRule="auto"/>
              <w:ind w:left="318" w:hanging="284"/>
              <w:jc w:val="both"/>
              <w:rPr>
                <w:rFonts w:ascii="Times New Roman" w:eastAsia="Calibri" w:hAnsi="Times New Roman" w:cs="Times New Roman"/>
                <w:b/>
                <w:color w:val="000000"/>
              </w:rPr>
            </w:pPr>
            <w:r w:rsidRPr="00442C01">
              <w:rPr>
                <w:rFonts w:ascii="Times New Roman" w:eastAsia="Calibri" w:hAnsi="Times New Roman" w:cs="Times New Roman"/>
                <w:b/>
                <w:color w:val="000000"/>
              </w:rPr>
              <w:lastRenderedPageBreak/>
              <w:t xml:space="preserve"> </w:t>
            </w:r>
            <w:r w:rsidRPr="00442C01">
              <w:rPr>
                <w:rFonts w:ascii="Times New Roman" w:eastAsia="Calibri" w:hAnsi="Times New Roman" w:cs="Times New Roman"/>
                <w:b/>
                <w:spacing w:val="-2"/>
              </w:rPr>
              <w:t>W jaki sposób i kiedy nastąpi ewaluacja efektów projektu oraz jakie mierniki zostaną zastosowane?</w:t>
            </w:r>
          </w:p>
        </w:tc>
      </w:tr>
      <w:tr w:rsidR="00B4201C" w:rsidRPr="00442C01" w14:paraId="429E0FAD" w14:textId="77777777" w:rsidTr="00B17DC3">
        <w:trPr>
          <w:gridAfter w:val="1"/>
          <w:wAfter w:w="10" w:type="dxa"/>
          <w:trHeight w:val="846"/>
        </w:trPr>
        <w:tc>
          <w:tcPr>
            <w:tcW w:w="10937" w:type="dxa"/>
            <w:gridSpan w:val="29"/>
            <w:shd w:val="clear" w:color="auto" w:fill="FFFFFF"/>
          </w:tcPr>
          <w:p w14:paraId="3DCCAD5C" w14:textId="5DE40BCB" w:rsidR="00DC08D1" w:rsidRDefault="00DC08D1" w:rsidP="00DC08D1">
            <w:pPr>
              <w:spacing w:before="240" w:line="240" w:lineRule="auto"/>
              <w:jc w:val="both"/>
              <w:rPr>
                <w:rFonts w:ascii="Times New Roman" w:hAnsi="Times New Roman"/>
                <w:color w:val="000000"/>
                <w:spacing w:val="-2"/>
              </w:rPr>
            </w:pPr>
            <w:r w:rsidRPr="001E0F35">
              <w:rPr>
                <w:rFonts w:ascii="Times New Roman" w:hAnsi="Times New Roman"/>
                <w:color w:val="000000"/>
                <w:spacing w:val="-2"/>
              </w:rPr>
              <w:t xml:space="preserve">Dokonanie ewaluacji </w:t>
            </w:r>
            <w:r>
              <w:rPr>
                <w:rFonts w:ascii="Times New Roman" w:hAnsi="Times New Roman"/>
                <w:color w:val="000000"/>
                <w:spacing w:val="-2"/>
              </w:rPr>
              <w:t>świadczenia</w:t>
            </w:r>
            <w:r w:rsidRPr="001E0F35">
              <w:rPr>
                <w:rFonts w:ascii="Times New Roman" w:hAnsi="Times New Roman"/>
                <w:color w:val="000000"/>
                <w:spacing w:val="-2"/>
              </w:rPr>
              <w:t xml:space="preserve"> </w:t>
            </w:r>
            <w:r w:rsidR="00961053">
              <w:rPr>
                <w:rFonts w:ascii="Times New Roman" w:hAnsi="Times New Roman"/>
                <w:color w:val="000000"/>
                <w:spacing w:val="-2"/>
              </w:rPr>
              <w:t xml:space="preserve">będzie </w:t>
            </w:r>
            <w:r>
              <w:rPr>
                <w:rFonts w:ascii="Times New Roman" w:hAnsi="Times New Roman"/>
                <w:color w:val="000000"/>
                <w:spacing w:val="-2"/>
              </w:rPr>
              <w:t>możliwe najszybciej za 2-</w:t>
            </w:r>
            <w:r w:rsidRPr="001E0F35">
              <w:rPr>
                <w:rFonts w:ascii="Times New Roman" w:hAnsi="Times New Roman"/>
                <w:color w:val="000000"/>
                <w:spacing w:val="-2"/>
              </w:rPr>
              <w:t xml:space="preserve">3 lata, kiedy </w:t>
            </w:r>
            <w:r w:rsidR="00961053">
              <w:rPr>
                <w:rFonts w:ascii="Times New Roman" w:hAnsi="Times New Roman"/>
                <w:color w:val="000000"/>
                <w:spacing w:val="-2"/>
              </w:rPr>
              <w:t xml:space="preserve">będzie </w:t>
            </w:r>
            <w:r>
              <w:rPr>
                <w:rFonts w:ascii="Times New Roman" w:hAnsi="Times New Roman"/>
                <w:color w:val="000000"/>
                <w:spacing w:val="-2"/>
              </w:rPr>
              <w:t>możliwe zbadanie korzyści wynikających z kwalifikacji przedmiotowych świadczeń</w:t>
            </w:r>
            <w:r w:rsidRPr="001E0F35">
              <w:rPr>
                <w:rFonts w:ascii="Times New Roman" w:hAnsi="Times New Roman"/>
                <w:color w:val="000000"/>
                <w:spacing w:val="-2"/>
              </w:rPr>
              <w:t xml:space="preserve"> </w:t>
            </w:r>
            <w:r>
              <w:rPr>
                <w:rFonts w:ascii="Times New Roman" w:hAnsi="Times New Roman"/>
                <w:color w:val="000000"/>
                <w:spacing w:val="-2"/>
              </w:rPr>
              <w:t>gwarantowanych. Ewaluacja zostanie przeprowadzona w oparciu o dane sprawozdawczo-rozliczeniowe NFZ za okres 2-3 lat po wprowadzeniu przedmiotowych zmian w porównaniu do realizacji świadczeń stomatologicznych w populacji docelowej w okresie 2-3 lat przed wprowadzeniem zmian.</w:t>
            </w:r>
          </w:p>
          <w:p w14:paraId="7023707F" w14:textId="77777777" w:rsidR="00DC08D1" w:rsidRPr="00B26145" w:rsidRDefault="00DC08D1" w:rsidP="00DC08D1">
            <w:pPr>
              <w:spacing w:before="240" w:line="240" w:lineRule="auto"/>
              <w:jc w:val="both"/>
              <w:rPr>
                <w:rFonts w:ascii="Times New Roman" w:hAnsi="Times New Roman"/>
                <w:color w:val="000000"/>
                <w:spacing w:val="-2"/>
              </w:rPr>
            </w:pPr>
            <w:r>
              <w:rPr>
                <w:rFonts w:ascii="Times New Roman" w:hAnsi="Times New Roman"/>
                <w:color w:val="000000"/>
                <w:spacing w:val="-2"/>
              </w:rPr>
              <w:t xml:space="preserve">Zaproponowano mierniki adekwatne do efektów </w:t>
            </w:r>
            <w:r w:rsidR="004C2B84">
              <w:rPr>
                <w:rFonts w:ascii="Times New Roman" w:hAnsi="Times New Roman"/>
                <w:color w:val="000000"/>
                <w:spacing w:val="-2"/>
              </w:rPr>
              <w:t xml:space="preserve">zdefiniowanych w pkt 2 OSR, tj. </w:t>
            </w:r>
          </w:p>
          <w:p w14:paraId="1A9F9C52" w14:textId="77777777" w:rsidR="004C2B84" w:rsidRPr="004C2B84" w:rsidRDefault="004C2B84" w:rsidP="004C2B84">
            <w:pPr>
              <w:spacing w:before="120" w:after="120"/>
              <w:jc w:val="both"/>
              <w:rPr>
                <w:rFonts w:ascii="Times New Roman" w:eastAsia="Calibri" w:hAnsi="Times New Roman" w:cs="Times New Roman"/>
                <w:color w:val="000000"/>
                <w:spacing w:val="-2"/>
              </w:rPr>
            </w:pPr>
            <w:r w:rsidRPr="004C2B84">
              <w:rPr>
                <w:rFonts w:ascii="Times New Roman" w:eastAsia="Calibri" w:hAnsi="Times New Roman" w:cs="Times New Roman"/>
                <w:color w:val="000000"/>
                <w:spacing w:val="-2"/>
              </w:rPr>
              <w:t xml:space="preserve">- </w:t>
            </w:r>
            <w:r w:rsidR="00824CDA">
              <w:rPr>
                <w:rFonts w:ascii="Times New Roman" w:eastAsia="Calibri" w:hAnsi="Times New Roman" w:cs="Times New Roman"/>
                <w:color w:val="000000"/>
                <w:spacing w:val="-2"/>
              </w:rPr>
              <w:t>odsetek pacjentów ze stenozą</w:t>
            </w:r>
            <w:r w:rsidRPr="004C2B84">
              <w:rPr>
                <w:rFonts w:ascii="Times New Roman" w:eastAsia="Calibri" w:hAnsi="Times New Roman" w:cs="Times New Roman"/>
                <w:color w:val="000000"/>
                <w:spacing w:val="-2"/>
              </w:rPr>
              <w:t xml:space="preserve"> naczyń wieńcowych </w:t>
            </w:r>
            <w:r w:rsidR="00824CDA">
              <w:rPr>
                <w:rFonts w:ascii="Times New Roman" w:eastAsia="Calibri" w:hAnsi="Times New Roman" w:cs="Times New Roman"/>
                <w:color w:val="000000"/>
                <w:spacing w:val="-2"/>
              </w:rPr>
              <w:t>leczonych z wykorzystaniem balonu uwalniającego lek względem pacjentów, u których zastosowano inne metody leczenia restenozy;</w:t>
            </w:r>
          </w:p>
          <w:p w14:paraId="783CA3B8" w14:textId="77777777" w:rsidR="004C2B84" w:rsidRPr="004C2B84" w:rsidRDefault="004C2B84" w:rsidP="004C2B84">
            <w:pPr>
              <w:spacing w:before="120" w:after="120"/>
              <w:jc w:val="both"/>
              <w:rPr>
                <w:rFonts w:ascii="Times New Roman" w:eastAsia="Calibri" w:hAnsi="Times New Roman" w:cs="Times New Roman"/>
                <w:color w:val="000000"/>
                <w:spacing w:val="-2"/>
              </w:rPr>
            </w:pPr>
            <w:r w:rsidRPr="004C2B84">
              <w:rPr>
                <w:rFonts w:ascii="Times New Roman" w:eastAsia="Calibri" w:hAnsi="Times New Roman" w:cs="Times New Roman"/>
                <w:color w:val="000000"/>
                <w:spacing w:val="-2"/>
              </w:rPr>
              <w:t xml:space="preserve">- </w:t>
            </w:r>
            <w:r w:rsidR="00824CDA">
              <w:rPr>
                <w:rFonts w:ascii="Times New Roman" w:eastAsia="Calibri" w:hAnsi="Times New Roman" w:cs="Times New Roman"/>
                <w:color w:val="000000"/>
                <w:spacing w:val="-2"/>
              </w:rPr>
              <w:t xml:space="preserve">odsetek pacjentów poddanych </w:t>
            </w:r>
            <w:r w:rsidRPr="004C2B84">
              <w:rPr>
                <w:rFonts w:ascii="Times New Roman" w:eastAsia="Calibri" w:hAnsi="Times New Roman" w:cs="Times New Roman"/>
                <w:color w:val="000000"/>
                <w:spacing w:val="-2"/>
              </w:rPr>
              <w:t>zabieg</w:t>
            </w:r>
            <w:r w:rsidR="00824CDA">
              <w:rPr>
                <w:rFonts w:ascii="Times New Roman" w:eastAsia="Calibri" w:hAnsi="Times New Roman" w:cs="Times New Roman"/>
                <w:color w:val="000000"/>
                <w:spacing w:val="-2"/>
              </w:rPr>
              <w:t xml:space="preserve">owi protezowania rogówki względem </w:t>
            </w:r>
            <w:r w:rsidR="00824CDA" w:rsidRPr="00824CDA">
              <w:rPr>
                <w:rFonts w:ascii="Times New Roman" w:eastAsia="Calibri" w:hAnsi="Times New Roman" w:cs="Times New Roman"/>
                <w:color w:val="000000"/>
                <w:spacing w:val="-2"/>
              </w:rPr>
              <w:t>pacjentów</w:t>
            </w:r>
            <w:r w:rsidR="00824CDA">
              <w:rPr>
                <w:rFonts w:ascii="Times New Roman" w:eastAsia="Calibri" w:hAnsi="Times New Roman" w:cs="Times New Roman"/>
                <w:color w:val="000000"/>
                <w:spacing w:val="-2"/>
              </w:rPr>
              <w:t xml:space="preserve"> z rozpoznaniem będącym podstawą kwalifikacji do leczenia</w:t>
            </w:r>
            <w:r w:rsidR="00824CDA" w:rsidRPr="00824CDA">
              <w:rPr>
                <w:rFonts w:ascii="Times New Roman" w:eastAsia="Calibri" w:hAnsi="Times New Roman" w:cs="Times New Roman"/>
                <w:color w:val="000000"/>
                <w:spacing w:val="-2"/>
              </w:rPr>
              <w:t>, u których</w:t>
            </w:r>
            <w:r w:rsidR="00824CDA">
              <w:rPr>
                <w:rFonts w:ascii="Times New Roman" w:eastAsia="Calibri" w:hAnsi="Times New Roman" w:cs="Times New Roman"/>
                <w:b/>
                <w:color w:val="000000"/>
                <w:spacing w:val="-2"/>
              </w:rPr>
              <w:t xml:space="preserve"> </w:t>
            </w:r>
            <w:r w:rsidR="00824CDA">
              <w:rPr>
                <w:rFonts w:ascii="Times New Roman" w:eastAsia="Calibri" w:hAnsi="Times New Roman" w:cs="Times New Roman"/>
                <w:color w:val="000000"/>
                <w:spacing w:val="-2"/>
              </w:rPr>
              <w:t>zastosowano inne metody terapeutyczne lub leczenia zachowawczego;</w:t>
            </w:r>
          </w:p>
          <w:p w14:paraId="4961B0F2" w14:textId="77777777" w:rsidR="004C2B84" w:rsidRPr="004C2B84" w:rsidRDefault="004C2B84" w:rsidP="004C2B84">
            <w:pPr>
              <w:spacing w:before="120" w:after="120"/>
              <w:jc w:val="both"/>
              <w:rPr>
                <w:rFonts w:ascii="Times New Roman" w:eastAsia="Calibri" w:hAnsi="Times New Roman" w:cs="Times New Roman"/>
                <w:color w:val="000000"/>
                <w:spacing w:val="-2"/>
              </w:rPr>
            </w:pPr>
            <w:r w:rsidRPr="004C2B84">
              <w:rPr>
                <w:rFonts w:ascii="Times New Roman" w:eastAsia="Calibri" w:hAnsi="Times New Roman" w:cs="Times New Roman"/>
                <w:color w:val="000000"/>
                <w:spacing w:val="-2"/>
              </w:rPr>
              <w:t xml:space="preserve">- </w:t>
            </w:r>
            <w:r w:rsidR="00824CDA">
              <w:rPr>
                <w:rFonts w:ascii="Times New Roman" w:eastAsia="Calibri" w:hAnsi="Times New Roman" w:cs="Times New Roman"/>
                <w:color w:val="000000"/>
                <w:spacing w:val="-2"/>
              </w:rPr>
              <w:t xml:space="preserve">odsetek pacjentów poddanych </w:t>
            </w:r>
            <w:r w:rsidR="00824CDA" w:rsidRPr="004C2B84">
              <w:rPr>
                <w:rFonts w:ascii="Times New Roman" w:eastAsia="Calibri" w:hAnsi="Times New Roman" w:cs="Times New Roman"/>
                <w:color w:val="000000"/>
                <w:spacing w:val="-2"/>
              </w:rPr>
              <w:t>zabieg</w:t>
            </w:r>
            <w:r w:rsidR="00824CDA">
              <w:rPr>
                <w:rFonts w:ascii="Times New Roman" w:eastAsia="Calibri" w:hAnsi="Times New Roman" w:cs="Times New Roman"/>
                <w:color w:val="000000"/>
                <w:spacing w:val="-2"/>
              </w:rPr>
              <w:t xml:space="preserve">owi </w:t>
            </w:r>
            <w:r w:rsidRPr="004C2B84">
              <w:rPr>
                <w:rFonts w:ascii="Times New Roman" w:eastAsia="Calibri" w:hAnsi="Times New Roman" w:cs="Times New Roman"/>
                <w:color w:val="000000"/>
                <w:spacing w:val="-2"/>
              </w:rPr>
              <w:t>protezowania cewki moczowej lub protezowania moczowo</w:t>
            </w:r>
            <w:r w:rsidR="00824CDA">
              <w:rPr>
                <w:rFonts w:ascii="Times New Roman" w:eastAsia="Calibri" w:hAnsi="Times New Roman" w:cs="Times New Roman"/>
                <w:color w:val="000000"/>
                <w:spacing w:val="-2"/>
              </w:rPr>
              <w:t xml:space="preserve">du względem </w:t>
            </w:r>
            <w:r w:rsidR="00824CDA" w:rsidRPr="00824CDA">
              <w:rPr>
                <w:rFonts w:ascii="Times New Roman" w:eastAsia="Calibri" w:hAnsi="Times New Roman" w:cs="Times New Roman"/>
                <w:color w:val="000000"/>
                <w:spacing w:val="-2"/>
              </w:rPr>
              <w:t>pacjentów</w:t>
            </w:r>
            <w:r w:rsidR="00824CDA">
              <w:rPr>
                <w:rFonts w:ascii="Times New Roman" w:eastAsia="Calibri" w:hAnsi="Times New Roman" w:cs="Times New Roman"/>
                <w:color w:val="000000"/>
                <w:spacing w:val="-2"/>
              </w:rPr>
              <w:t xml:space="preserve">, </w:t>
            </w:r>
            <w:r w:rsidR="00824CDA" w:rsidRPr="00824CDA">
              <w:rPr>
                <w:rFonts w:ascii="Times New Roman" w:eastAsia="Calibri" w:hAnsi="Times New Roman" w:cs="Times New Roman"/>
                <w:color w:val="000000"/>
                <w:spacing w:val="-2"/>
              </w:rPr>
              <w:t>u których</w:t>
            </w:r>
            <w:r w:rsidR="00824CDA">
              <w:rPr>
                <w:rFonts w:ascii="Times New Roman" w:eastAsia="Calibri" w:hAnsi="Times New Roman" w:cs="Times New Roman"/>
                <w:b/>
                <w:color w:val="000000"/>
                <w:spacing w:val="-2"/>
              </w:rPr>
              <w:t xml:space="preserve"> </w:t>
            </w:r>
            <w:r w:rsidR="00824CDA">
              <w:rPr>
                <w:rFonts w:ascii="Times New Roman" w:eastAsia="Calibri" w:hAnsi="Times New Roman" w:cs="Times New Roman"/>
                <w:color w:val="000000"/>
                <w:spacing w:val="-2"/>
              </w:rPr>
              <w:t xml:space="preserve">zastosowano inne metody terapeutyczne lub leczenia zachowawczego; </w:t>
            </w:r>
          </w:p>
          <w:p w14:paraId="43CE0B5B" w14:textId="77777777" w:rsidR="00824CDA" w:rsidRPr="004C2B84" w:rsidRDefault="004C2B84" w:rsidP="00824CDA">
            <w:pPr>
              <w:spacing w:before="120" w:after="120"/>
              <w:jc w:val="both"/>
              <w:rPr>
                <w:rFonts w:ascii="Times New Roman" w:eastAsia="Calibri" w:hAnsi="Times New Roman" w:cs="Times New Roman"/>
                <w:color w:val="000000"/>
                <w:spacing w:val="-2"/>
              </w:rPr>
            </w:pPr>
            <w:r w:rsidRPr="004C2B84">
              <w:rPr>
                <w:rFonts w:ascii="Times New Roman" w:eastAsia="Calibri" w:hAnsi="Times New Roman" w:cs="Times New Roman"/>
                <w:color w:val="000000"/>
                <w:spacing w:val="-2"/>
              </w:rPr>
              <w:t xml:space="preserve">- </w:t>
            </w:r>
            <w:r w:rsidR="00824CDA">
              <w:rPr>
                <w:rFonts w:ascii="Times New Roman" w:eastAsia="Calibri" w:hAnsi="Times New Roman" w:cs="Times New Roman"/>
                <w:color w:val="000000"/>
                <w:spacing w:val="-2"/>
              </w:rPr>
              <w:t xml:space="preserve">odsetek pacjentów poddanych </w:t>
            </w:r>
            <w:r w:rsidR="00824CDA" w:rsidRPr="004C2B84">
              <w:rPr>
                <w:rFonts w:ascii="Times New Roman" w:eastAsia="Calibri" w:hAnsi="Times New Roman" w:cs="Times New Roman"/>
                <w:color w:val="000000"/>
                <w:spacing w:val="-2"/>
              </w:rPr>
              <w:t>zabieg</w:t>
            </w:r>
            <w:r w:rsidR="00824CDA">
              <w:rPr>
                <w:rFonts w:ascii="Times New Roman" w:eastAsia="Calibri" w:hAnsi="Times New Roman" w:cs="Times New Roman"/>
                <w:color w:val="000000"/>
                <w:spacing w:val="-2"/>
              </w:rPr>
              <w:t xml:space="preserve">owi </w:t>
            </w:r>
            <w:r w:rsidRPr="004C2B84">
              <w:rPr>
                <w:rFonts w:ascii="Times New Roman" w:eastAsia="Calibri" w:hAnsi="Times New Roman" w:cs="Times New Roman"/>
                <w:color w:val="000000"/>
                <w:spacing w:val="-2"/>
              </w:rPr>
              <w:t>leczenia nowotworów jelita grubego, gruczołu krokowego, nowotworów błony śluzowej trzonu macicy z wykorzystaniem systemu robotowego</w:t>
            </w:r>
            <w:r w:rsidR="00824CDA">
              <w:rPr>
                <w:rFonts w:ascii="Times New Roman" w:eastAsia="Calibri" w:hAnsi="Times New Roman" w:cs="Times New Roman"/>
                <w:color w:val="000000"/>
                <w:spacing w:val="-2"/>
              </w:rPr>
              <w:t xml:space="preserve"> względem </w:t>
            </w:r>
            <w:r w:rsidR="00824CDA" w:rsidRPr="00824CDA">
              <w:rPr>
                <w:rFonts w:ascii="Times New Roman" w:eastAsia="Calibri" w:hAnsi="Times New Roman" w:cs="Times New Roman"/>
                <w:color w:val="000000"/>
                <w:spacing w:val="-2"/>
              </w:rPr>
              <w:t>pacjentów</w:t>
            </w:r>
            <w:r w:rsidR="00824CDA">
              <w:rPr>
                <w:rFonts w:ascii="Times New Roman" w:eastAsia="Calibri" w:hAnsi="Times New Roman" w:cs="Times New Roman"/>
                <w:color w:val="000000"/>
                <w:spacing w:val="-2"/>
              </w:rPr>
              <w:t xml:space="preserve">, </w:t>
            </w:r>
            <w:r w:rsidR="00824CDA" w:rsidRPr="00824CDA">
              <w:rPr>
                <w:rFonts w:ascii="Times New Roman" w:eastAsia="Calibri" w:hAnsi="Times New Roman" w:cs="Times New Roman"/>
                <w:color w:val="000000"/>
                <w:spacing w:val="-2"/>
              </w:rPr>
              <w:t>u których</w:t>
            </w:r>
            <w:r w:rsidR="00824CDA">
              <w:rPr>
                <w:rFonts w:ascii="Times New Roman" w:eastAsia="Calibri" w:hAnsi="Times New Roman" w:cs="Times New Roman"/>
                <w:b/>
                <w:color w:val="000000"/>
                <w:spacing w:val="-2"/>
              </w:rPr>
              <w:t xml:space="preserve"> </w:t>
            </w:r>
            <w:r w:rsidR="00824CDA">
              <w:rPr>
                <w:rFonts w:ascii="Times New Roman" w:eastAsia="Calibri" w:hAnsi="Times New Roman" w:cs="Times New Roman"/>
                <w:color w:val="000000"/>
                <w:spacing w:val="-2"/>
              </w:rPr>
              <w:t>zastosowano inne metody terapeutyczne lub leczenia zachowawczego;</w:t>
            </w:r>
          </w:p>
          <w:p w14:paraId="52967AEC" w14:textId="77777777" w:rsidR="00824CDA" w:rsidRPr="004C2B84" w:rsidRDefault="004C2B84" w:rsidP="00824CDA">
            <w:pPr>
              <w:spacing w:before="120" w:after="120"/>
              <w:jc w:val="both"/>
              <w:rPr>
                <w:rFonts w:ascii="Times New Roman" w:eastAsia="Calibri" w:hAnsi="Times New Roman" w:cs="Times New Roman"/>
                <w:color w:val="000000"/>
                <w:spacing w:val="-2"/>
              </w:rPr>
            </w:pPr>
            <w:r w:rsidRPr="004C2B84">
              <w:rPr>
                <w:rFonts w:ascii="Times New Roman" w:eastAsia="Calibri" w:hAnsi="Times New Roman" w:cs="Times New Roman"/>
                <w:color w:val="000000"/>
                <w:spacing w:val="-2"/>
              </w:rPr>
              <w:t xml:space="preserve">- </w:t>
            </w:r>
            <w:r w:rsidR="00824CDA">
              <w:rPr>
                <w:rFonts w:ascii="Times New Roman" w:eastAsia="Calibri" w:hAnsi="Times New Roman" w:cs="Times New Roman"/>
                <w:color w:val="000000"/>
                <w:spacing w:val="-2"/>
              </w:rPr>
              <w:t xml:space="preserve">odsetek pacjentów poddanych </w:t>
            </w:r>
            <w:r w:rsidR="00824CDA" w:rsidRPr="004C2B84">
              <w:rPr>
                <w:rFonts w:ascii="Times New Roman" w:eastAsia="Calibri" w:hAnsi="Times New Roman" w:cs="Times New Roman"/>
                <w:color w:val="000000"/>
                <w:spacing w:val="-2"/>
              </w:rPr>
              <w:t>zabieg</w:t>
            </w:r>
            <w:r w:rsidR="00824CDA">
              <w:rPr>
                <w:rFonts w:ascii="Times New Roman" w:eastAsia="Calibri" w:hAnsi="Times New Roman" w:cs="Times New Roman"/>
                <w:color w:val="000000"/>
                <w:spacing w:val="-2"/>
              </w:rPr>
              <w:t xml:space="preserve">owi </w:t>
            </w:r>
            <w:r w:rsidRPr="004C2B84">
              <w:rPr>
                <w:rFonts w:ascii="Times New Roman" w:eastAsia="Calibri" w:hAnsi="Times New Roman" w:cs="Times New Roman"/>
                <w:color w:val="000000"/>
                <w:spacing w:val="-2"/>
              </w:rPr>
              <w:t>neuromodulacji krzyżowej</w:t>
            </w:r>
            <w:r w:rsidR="00824CDA">
              <w:rPr>
                <w:rFonts w:ascii="Times New Roman" w:eastAsia="Calibri" w:hAnsi="Times New Roman" w:cs="Times New Roman"/>
                <w:color w:val="000000"/>
                <w:spacing w:val="-2"/>
              </w:rPr>
              <w:t xml:space="preserve"> względem </w:t>
            </w:r>
            <w:r w:rsidR="00824CDA" w:rsidRPr="00824CDA">
              <w:rPr>
                <w:rFonts w:ascii="Times New Roman" w:eastAsia="Calibri" w:hAnsi="Times New Roman" w:cs="Times New Roman"/>
                <w:color w:val="000000"/>
                <w:spacing w:val="-2"/>
              </w:rPr>
              <w:t>pacjentów</w:t>
            </w:r>
            <w:r w:rsidR="00824CDA">
              <w:rPr>
                <w:rFonts w:ascii="Times New Roman" w:eastAsia="Calibri" w:hAnsi="Times New Roman" w:cs="Times New Roman"/>
                <w:color w:val="000000"/>
                <w:spacing w:val="-2"/>
              </w:rPr>
              <w:t xml:space="preserve">, </w:t>
            </w:r>
            <w:r w:rsidR="00824CDA" w:rsidRPr="00824CDA">
              <w:rPr>
                <w:rFonts w:ascii="Times New Roman" w:eastAsia="Calibri" w:hAnsi="Times New Roman" w:cs="Times New Roman"/>
                <w:color w:val="000000"/>
                <w:spacing w:val="-2"/>
              </w:rPr>
              <w:t>u których</w:t>
            </w:r>
            <w:r w:rsidR="00824CDA">
              <w:rPr>
                <w:rFonts w:ascii="Times New Roman" w:eastAsia="Calibri" w:hAnsi="Times New Roman" w:cs="Times New Roman"/>
                <w:b/>
                <w:color w:val="000000"/>
                <w:spacing w:val="-2"/>
              </w:rPr>
              <w:t xml:space="preserve"> </w:t>
            </w:r>
            <w:r w:rsidR="00824CDA">
              <w:rPr>
                <w:rFonts w:ascii="Times New Roman" w:eastAsia="Calibri" w:hAnsi="Times New Roman" w:cs="Times New Roman"/>
                <w:color w:val="000000"/>
                <w:spacing w:val="-2"/>
              </w:rPr>
              <w:t xml:space="preserve">zastosowano inne metody terapeutyczne lub leczenia zachowawczego; </w:t>
            </w:r>
          </w:p>
          <w:p w14:paraId="71F699E8" w14:textId="77777777" w:rsidR="004C2B84" w:rsidRPr="004C2B84" w:rsidRDefault="004C2B84" w:rsidP="004C2B84">
            <w:pPr>
              <w:spacing w:before="120" w:after="120"/>
              <w:jc w:val="both"/>
              <w:rPr>
                <w:rFonts w:ascii="Times New Roman" w:eastAsia="Calibri" w:hAnsi="Times New Roman" w:cs="Times New Roman"/>
                <w:color w:val="000000"/>
                <w:spacing w:val="-2"/>
              </w:rPr>
            </w:pPr>
            <w:r w:rsidRPr="004C2B84">
              <w:rPr>
                <w:rFonts w:ascii="Times New Roman" w:eastAsia="Calibri" w:hAnsi="Times New Roman" w:cs="Times New Roman"/>
                <w:color w:val="000000"/>
                <w:spacing w:val="-2"/>
              </w:rPr>
              <w:t xml:space="preserve">- </w:t>
            </w:r>
            <w:r w:rsidR="00824CDA">
              <w:rPr>
                <w:rFonts w:ascii="Times New Roman" w:eastAsia="Calibri" w:hAnsi="Times New Roman" w:cs="Times New Roman"/>
                <w:color w:val="000000"/>
                <w:spacing w:val="-2"/>
              </w:rPr>
              <w:t xml:space="preserve">odsetek pacjentów poddanych </w:t>
            </w:r>
            <w:r w:rsidR="00824CDA" w:rsidRPr="004C2B84">
              <w:rPr>
                <w:rFonts w:ascii="Times New Roman" w:eastAsia="Calibri" w:hAnsi="Times New Roman" w:cs="Times New Roman"/>
                <w:color w:val="000000"/>
                <w:spacing w:val="-2"/>
              </w:rPr>
              <w:t>zabieg</w:t>
            </w:r>
            <w:r w:rsidR="00824CDA">
              <w:rPr>
                <w:rFonts w:ascii="Times New Roman" w:eastAsia="Calibri" w:hAnsi="Times New Roman" w:cs="Times New Roman"/>
                <w:color w:val="000000"/>
                <w:spacing w:val="-2"/>
              </w:rPr>
              <w:t>owi</w:t>
            </w:r>
            <w:r w:rsidRPr="004C2B84">
              <w:rPr>
                <w:rFonts w:ascii="Times New Roman" w:eastAsia="Calibri" w:hAnsi="Times New Roman" w:cs="Times New Roman"/>
                <w:color w:val="000000"/>
                <w:spacing w:val="-2"/>
              </w:rPr>
              <w:t xml:space="preserve"> mechanicznego udrażniania tętnic mózgowych z podaniem leku fibrynolitycznego w ostrej fazie udaru niedokrwiennego</w:t>
            </w:r>
            <w:r w:rsidR="00824CDA">
              <w:rPr>
                <w:rFonts w:ascii="Times New Roman" w:eastAsia="Calibri" w:hAnsi="Times New Roman" w:cs="Times New Roman"/>
                <w:color w:val="000000"/>
                <w:spacing w:val="-2"/>
              </w:rPr>
              <w:t xml:space="preserve"> względem </w:t>
            </w:r>
            <w:r w:rsidR="00824CDA" w:rsidRPr="00824CDA">
              <w:rPr>
                <w:rFonts w:ascii="Times New Roman" w:eastAsia="Calibri" w:hAnsi="Times New Roman" w:cs="Times New Roman"/>
                <w:color w:val="000000"/>
                <w:spacing w:val="-2"/>
              </w:rPr>
              <w:t>pacjentów</w:t>
            </w:r>
            <w:r w:rsidR="00824CDA">
              <w:rPr>
                <w:rFonts w:ascii="Times New Roman" w:eastAsia="Calibri" w:hAnsi="Times New Roman" w:cs="Times New Roman"/>
                <w:color w:val="000000"/>
                <w:spacing w:val="-2"/>
              </w:rPr>
              <w:t xml:space="preserve">, </w:t>
            </w:r>
            <w:r w:rsidR="00824CDA" w:rsidRPr="00824CDA">
              <w:rPr>
                <w:rFonts w:ascii="Times New Roman" w:eastAsia="Calibri" w:hAnsi="Times New Roman" w:cs="Times New Roman"/>
                <w:color w:val="000000"/>
                <w:spacing w:val="-2"/>
              </w:rPr>
              <w:t>u których</w:t>
            </w:r>
            <w:r w:rsidR="00824CDA">
              <w:rPr>
                <w:rFonts w:ascii="Times New Roman" w:eastAsia="Calibri" w:hAnsi="Times New Roman" w:cs="Times New Roman"/>
                <w:b/>
                <w:color w:val="000000"/>
                <w:spacing w:val="-2"/>
              </w:rPr>
              <w:t xml:space="preserve"> </w:t>
            </w:r>
            <w:r w:rsidR="00824CDA">
              <w:rPr>
                <w:rFonts w:ascii="Times New Roman" w:eastAsia="Calibri" w:hAnsi="Times New Roman" w:cs="Times New Roman"/>
                <w:color w:val="000000"/>
                <w:spacing w:val="-2"/>
              </w:rPr>
              <w:t>zastosowano inne metody terapeutyczne lub leczenia zachowawczego</w:t>
            </w:r>
            <w:r w:rsidRPr="004C2B84">
              <w:rPr>
                <w:rFonts w:ascii="Times New Roman" w:eastAsia="Calibri" w:hAnsi="Times New Roman" w:cs="Times New Roman"/>
                <w:color w:val="000000"/>
                <w:spacing w:val="-2"/>
              </w:rPr>
              <w:t>;</w:t>
            </w:r>
          </w:p>
          <w:p w14:paraId="1C7B41E2" w14:textId="77777777" w:rsidR="00B4201C" w:rsidRDefault="004C2B84" w:rsidP="004C2B84">
            <w:pPr>
              <w:spacing w:before="120" w:after="120"/>
              <w:jc w:val="both"/>
              <w:rPr>
                <w:rFonts w:ascii="Times New Roman" w:eastAsia="Calibri" w:hAnsi="Times New Roman" w:cs="Times New Roman"/>
                <w:color w:val="000000"/>
                <w:spacing w:val="-2"/>
              </w:rPr>
            </w:pPr>
            <w:r w:rsidRPr="004C2B84">
              <w:rPr>
                <w:rFonts w:ascii="Times New Roman" w:eastAsia="Calibri" w:hAnsi="Times New Roman" w:cs="Times New Roman"/>
                <w:color w:val="000000"/>
                <w:spacing w:val="-2"/>
              </w:rPr>
              <w:t xml:space="preserve">- </w:t>
            </w:r>
            <w:r w:rsidR="00824CDA">
              <w:rPr>
                <w:rFonts w:ascii="Times New Roman" w:eastAsia="Calibri" w:hAnsi="Times New Roman" w:cs="Times New Roman"/>
                <w:color w:val="000000"/>
                <w:spacing w:val="-2"/>
              </w:rPr>
              <w:t xml:space="preserve">odsetek pacjentów poddanych </w:t>
            </w:r>
            <w:r w:rsidR="00824CDA" w:rsidRPr="004C2B84">
              <w:rPr>
                <w:rFonts w:ascii="Times New Roman" w:eastAsia="Calibri" w:hAnsi="Times New Roman" w:cs="Times New Roman"/>
                <w:color w:val="000000"/>
                <w:spacing w:val="-2"/>
              </w:rPr>
              <w:t>zabieg</w:t>
            </w:r>
            <w:r w:rsidR="00824CDA">
              <w:rPr>
                <w:rFonts w:ascii="Times New Roman" w:eastAsia="Calibri" w:hAnsi="Times New Roman" w:cs="Times New Roman"/>
                <w:color w:val="000000"/>
                <w:spacing w:val="-2"/>
              </w:rPr>
              <w:t>owi</w:t>
            </w:r>
            <w:r w:rsidR="00824CDA" w:rsidRPr="004C2B84">
              <w:rPr>
                <w:rFonts w:ascii="Times New Roman" w:eastAsia="Calibri" w:hAnsi="Times New Roman" w:cs="Times New Roman"/>
                <w:color w:val="000000"/>
                <w:spacing w:val="-2"/>
              </w:rPr>
              <w:t xml:space="preserve"> </w:t>
            </w:r>
            <w:r w:rsidRPr="004C2B84">
              <w:rPr>
                <w:rFonts w:ascii="Times New Roman" w:eastAsia="Calibri" w:hAnsi="Times New Roman" w:cs="Times New Roman"/>
                <w:color w:val="000000"/>
                <w:spacing w:val="-2"/>
              </w:rPr>
              <w:t>chirurgicznego leczenia otyłości</w:t>
            </w:r>
            <w:r w:rsidR="00824CDA">
              <w:rPr>
                <w:rFonts w:ascii="Times New Roman" w:eastAsia="Calibri" w:hAnsi="Times New Roman" w:cs="Times New Roman"/>
                <w:color w:val="000000"/>
                <w:spacing w:val="-2"/>
              </w:rPr>
              <w:t xml:space="preserve"> względem </w:t>
            </w:r>
            <w:r w:rsidR="00824CDA" w:rsidRPr="00824CDA">
              <w:rPr>
                <w:rFonts w:ascii="Times New Roman" w:eastAsia="Calibri" w:hAnsi="Times New Roman" w:cs="Times New Roman"/>
                <w:color w:val="000000"/>
                <w:spacing w:val="-2"/>
              </w:rPr>
              <w:t>pacjentów</w:t>
            </w:r>
            <w:r w:rsidR="00824CDA">
              <w:rPr>
                <w:rFonts w:ascii="Times New Roman" w:eastAsia="Calibri" w:hAnsi="Times New Roman" w:cs="Times New Roman"/>
                <w:color w:val="000000"/>
                <w:spacing w:val="-2"/>
              </w:rPr>
              <w:t xml:space="preserve">, </w:t>
            </w:r>
            <w:r w:rsidR="00824CDA" w:rsidRPr="00824CDA">
              <w:rPr>
                <w:rFonts w:ascii="Times New Roman" w:eastAsia="Calibri" w:hAnsi="Times New Roman" w:cs="Times New Roman"/>
                <w:color w:val="000000"/>
                <w:spacing w:val="-2"/>
              </w:rPr>
              <w:t>u których</w:t>
            </w:r>
            <w:r w:rsidR="00824CDA">
              <w:rPr>
                <w:rFonts w:ascii="Times New Roman" w:eastAsia="Calibri" w:hAnsi="Times New Roman" w:cs="Times New Roman"/>
                <w:b/>
                <w:color w:val="000000"/>
                <w:spacing w:val="-2"/>
              </w:rPr>
              <w:t xml:space="preserve"> </w:t>
            </w:r>
            <w:r w:rsidR="00824CDA">
              <w:rPr>
                <w:rFonts w:ascii="Times New Roman" w:eastAsia="Calibri" w:hAnsi="Times New Roman" w:cs="Times New Roman"/>
                <w:color w:val="000000"/>
                <w:spacing w:val="-2"/>
              </w:rPr>
              <w:t>zastosowano inne metody terapeutyczne lub leczenia zachowawczego</w:t>
            </w:r>
            <w:r w:rsidRPr="004C2B84">
              <w:rPr>
                <w:rFonts w:ascii="Times New Roman" w:eastAsia="Calibri" w:hAnsi="Times New Roman" w:cs="Times New Roman"/>
                <w:color w:val="000000"/>
                <w:spacing w:val="-2"/>
              </w:rPr>
              <w:t>.</w:t>
            </w:r>
          </w:p>
          <w:p w14:paraId="3F9B4475" w14:textId="77777777" w:rsidR="00177EE4" w:rsidRPr="00CD27AF" w:rsidRDefault="00177EE4" w:rsidP="00174C75">
            <w:pPr>
              <w:spacing w:before="120" w:after="120"/>
              <w:jc w:val="both"/>
              <w:rPr>
                <w:rFonts w:ascii="Times New Roman" w:eastAsia="Calibri" w:hAnsi="Times New Roman" w:cs="Times New Roman"/>
                <w:color w:val="000000"/>
                <w:spacing w:val="-2"/>
              </w:rPr>
            </w:pPr>
            <w:r>
              <w:rPr>
                <w:rFonts w:ascii="Times New Roman" w:eastAsia="Calibri" w:hAnsi="Times New Roman" w:cs="Times New Roman"/>
                <w:color w:val="000000"/>
                <w:spacing w:val="-2"/>
              </w:rPr>
              <w:t>Ewaluacji zostaną również poddane wydatki Narodowego Funduszu Zdrowia na realizację nowo wprowadzanych świadczeń gwarantowanych względem prognoz wydatków szacowanych dla pierwszych 2-3 lat finansowania tych metod ze środków publicznych.</w:t>
            </w:r>
          </w:p>
        </w:tc>
      </w:tr>
      <w:tr w:rsidR="00B4201C" w:rsidRPr="00442C01" w14:paraId="67A03FB2" w14:textId="77777777" w:rsidTr="00B17DC3">
        <w:trPr>
          <w:gridAfter w:val="1"/>
          <w:wAfter w:w="10" w:type="dxa"/>
          <w:trHeight w:val="142"/>
        </w:trPr>
        <w:tc>
          <w:tcPr>
            <w:tcW w:w="10937" w:type="dxa"/>
            <w:gridSpan w:val="29"/>
            <w:shd w:val="clear" w:color="auto" w:fill="99CCFF"/>
          </w:tcPr>
          <w:p w14:paraId="44CC2B27" w14:textId="77777777" w:rsidR="00B4201C" w:rsidRPr="00442C01" w:rsidRDefault="00B4201C" w:rsidP="00C761E8">
            <w:pPr>
              <w:numPr>
                <w:ilvl w:val="0"/>
                <w:numId w:val="1"/>
              </w:numPr>
              <w:spacing w:before="120" w:after="120" w:line="240" w:lineRule="auto"/>
              <w:ind w:left="318" w:hanging="284"/>
              <w:jc w:val="both"/>
              <w:rPr>
                <w:rFonts w:ascii="Times New Roman" w:eastAsia="Calibri" w:hAnsi="Times New Roman" w:cs="Times New Roman"/>
                <w:b/>
                <w:color w:val="000000"/>
                <w:spacing w:val="-2"/>
              </w:rPr>
            </w:pPr>
            <w:r w:rsidRPr="00442C01">
              <w:rPr>
                <w:rFonts w:ascii="Times New Roman" w:eastAsia="Calibri" w:hAnsi="Times New Roman" w:cs="Times New Roman"/>
                <w:b/>
                <w:color w:val="000000"/>
                <w:spacing w:val="-2"/>
              </w:rPr>
              <w:t xml:space="preserve">Załączniki </w:t>
            </w:r>
            <w:r w:rsidRPr="00442C01">
              <w:rPr>
                <w:rFonts w:ascii="Times New Roman" w:eastAsia="Calibri" w:hAnsi="Times New Roman" w:cs="Times New Roman"/>
                <w:b/>
                <w:spacing w:val="-2"/>
              </w:rPr>
              <w:t>(istotne dokumenty źródłowe, badania, analizy itp.</w:t>
            </w:r>
            <w:r w:rsidRPr="00442C01">
              <w:rPr>
                <w:rFonts w:ascii="Times New Roman" w:eastAsia="Calibri" w:hAnsi="Times New Roman" w:cs="Times New Roman"/>
                <w:b/>
                <w:color w:val="000000"/>
                <w:spacing w:val="-2"/>
              </w:rPr>
              <w:t xml:space="preserve">) </w:t>
            </w:r>
          </w:p>
        </w:tc>
      </w:tr>
      <w:tr w:rsidR="00B4201C" w:rsidRPr="00442C01" w14:paraId="21094485" w14:textId="77777777" w:rsidTr="00B17DC3">
        <w:trPr>
          <w:gridAfter w:val="1"/>
          <w:wAfter w:w="10" w:type="dxa"/>
          <w:trHeight w:val="209"/>
        </w:trPr>
        <w:tc>
          <w:tcPr>
            <w:tcW w:w="10937" w:type="dxa"/>
            <w:gridSpan w:val="29"/>
            <w:shd w:val="clear" w:color="auto" w:fill="FFFFFF"/>
          </w:tcPr>
          <w:p w14:paraId="09B88947" w14:textId="77777777" w:rsidR="00B4201C" w:rsidRDefault="002E23EF" w:rsidP="00C84EA5">
            <w:pPr>
              <w:pStyle w:val="Akapitzlist"/>
              <w:numPr>
                <w:ilvl w:val="1"/>
                <w:numId w:val="1"/>
              </w:numPr>
              <w:suppressAutoHyphens/>
              <w:autoSpaceDE w:val="0"/>
              <w:autoSpaceDN w:val="0"/>
              <w:adjustRightInd w:val="0"/>
              <w:spacing w:before="120" w:after="120"/>
              <w:jc w:val="both"/>
              <w:rPr>
                <w:rFonts w:ascii="Times New Roman" w:eastAsia="Times New Roman" w:hAnsi="Times New Roman" w:cs="Times New Roman"/>
                <w:lang w:eastAsia="pl-PL"/>
              </w:rPr>
            </w:pPr>
            <w:r w:rsidRPr="00C84EA5">
              <w:rPr>
                <w:rFonts w:ascii="Times New Roman" w:eastAsia="Times New Roman" w:hAnsi="Times New Roman" w:cs="Times New Roman"/>
                <w:lang w:eastAsia="pl-PL"/>
              </w:rPr>
              <w:t xml:space="preserve">Raport z konsultacji publicznych </w:t>
            </w:r>
            <w:r w:rsidR="009D756E" w:rsidRPr="00C84EA5">
              <w:rPr>
                <w:rFonts w:ascii="Times New Roman" w:eastAsia="Times New Roman" w:hAnsi="Times New Roman" w:cs="Times New Roman"/>
                <w:lang w:eastAsia="pl-PL"/>
              </w:rPr>
              <w:t>oraz</w:t>
            </w:r>
            <w:r w:rsidRPr="00C84EA5">
              <w:rPr>
                <w:rFonts w:ascii="Times New Roman" w:eastAsia="Times New Roman" w:hAnsi="Times New Roman" w:cs="Times New Roman"/>
                <w:lang w:eastAsia="pl-PL"/>
              </w:rPr>
              <w:t xml:space="preserve"> opiniowania</w:t>
            </w:r>
            <w:r w:rsidR="0010032A">
              <w:rPr>
                <w:rFonts w:ascii="Times New Roman" w:eastAsia="Times New Roman" w:hAnsi="Times New Roman" w:cs="Times New Roman"/>
                <w:lang w:eastAsia="pl-PL"/>
              </w:rPr>
              <w:t xml:space="preserve"> (do uzupełnienia po konsultacjach)</w:t>
            </w:r>
            <w:r w:rsidRPr="00C84EA5">
              <w:rPr>
                <w:rFonts w:ascii="Times New Roman" w:eastAsia="Times New Roman" w:hAnsi="Times New Roman" w:cs="Times New Roman"/>
                <w:lang w:eastAsia="pl-PL"/>
              </w:rPr>
              <w:t>.</w:t>
            </w:r>
          </w:p>
          <w:p w14:paraId="077714B4" w14:textId="77777777" w:rsidR="00C84EA5" w:rsidRDefault="00BF3A25" w:rsidP="00BF3A25">
            <w:pPr>
              <w:pStyle w:val="Akapitzlist"/>
              <w:numPr>
                <w:ilvl w:val="1"/>
                <w:numId w:val="1"/>
              </w:numPr>
              <w:suppressAutoHyphens/>
              <w:autoSpaceDE w:val="0"/>
              <w:autoSpaceDN w:val="0"/>
              <w:adjustRightInd w:val="0"/>
              <w:spacing w:before="120" w:after="120"/>
              <w:jc w:val="both"/>
              <w:rPr>
                <w:rFonts w:ascii="Times New Roman" w:eastAsia="Times New Roman" w:hAnsi="Times New Roman" w:cs="Times New Roman"/>
                <w:lang w:eastAsia="pl-PL"/>
              </w:rPr>
            </w:pPr>
            <w:r w:rsidRPr="00BF3A25">
              <w:rPr>
                <w:rFonts w:ascii="Times New Roman" w:eastAsia="Times New Roman" w:hAnsi="Times New Roman" w:cs="Times New Roman"/>
                <w:lang w:eastAsia="pl-PL"/>
              </w:rPr>
              <w:t>Rekomendacja nr 35/2013 z dna 25 marca 2013 r. Prezesa Agencji Oceny Technologii Medycznych w sprawie zakwalifikowania jako świadczenia gwarantowanego świadczenia opieki zdrowotnej „protezowanie rogówki” do realizacji w zakresie leczenie szpitalne</w:t>
            </w:r>
            <w:r w:rsidR="000117E1">
              <w:rPr>
                <w:rFonts w:ascii="Times New Roman" w:eastAsia="Times New Roman" w:hAnsi="Times New Roman" w:cs="Times New Roman"/>
                <w:lang w:eastAsia="pl-PL"/>
              </w:rPr>
              <w:t>.</w:t>
            </w:r>
          </w:p>
          <w:p w14:paraId="7E6201CC" w14:textId="77777777" w:rsidR="000117E1" w:rsidRDefault="000117E1" w:rsidP="000117E1">
            <w:pPr>
              <w:pStyle w:val="Akapitzlist"/>
              <w:numPr>
                <w:ilvl w:val="1"/>
                <w:numId w:val="1"/>
              </w:numPr>
              <w:suppressAutoHyphens/>
              <w:autoSpaceDE w:val="0"/>
              <w:autoSpaceDN w:val="0"/>
              <w:adjustRightInd w:val="0"/>
              <w:spacing w:before="120" w:after="120"/>
              <w:jc w:val="both"/>
              <w:rPr>
                <w:rFonts w:ascii="Times New Roman" w:eastAsia="Times New Roman" w:hAnsi="Times New Roman" w:cs="Times New Roman"/>
                <w:lang w:eastAsia="pl-PL"/>
              </w:rPr>
            </w:pPr>
            <w:r w:rsidRPr="000117E1">
              <w:rPr>
                <w:rFonts w:ascii="Times New Roman" w:eastAsia="Times New Roman" w:hAnsi="Times New Roman" w:cs="Times New Roman"/>
                <w:lang w:eastAsia="pl-PL"/>
              </w:rPr>
              <w:t>Rekomendacja nr 179/2014 z dn</w:t>
            </w:r>
            <w:r>
              <w:rPr>
                <w:rFonts w:ascii="Times New Roman" w:eastAsia="Times New Roman" w:hAnsi="Times New Roman" w:cs="Times New Roman"/>
                <w:lang w:eastAsia="pl-PL"/>
              </w:rPr>
              <w:t>i</w:t>
            </w:r>
            <w:r w:rsidRPr="000117E1">
              <w:rPr>
                <w:rFonts w:ascii="Times New Roman" w:eastAsia="Times New Roman" w:hAnsi="Times New Roman" w:cs="Times New Roman"/>
                <w:lang w:eastAsia="pl-PL"/>
              </w:rPr>
              <w:t>a 28 lipca 2014 r. Prezesa Agencji Oceny Technologii Medycznych w sprawie zakwalifikowania świadczenia opieki zdrowotnej „leczenie restenozy naczyń wieńcowych za pomocą balonu uwalniającego lek”, jako świadczenia gwarantowanego, w zakresie leczenia szpitalnego</w:t>
            </w:r>
          </w:p>
          <w:p w14:paraId="10EBE919" w14:textId="77777777" w:rsidR="000117E1" w:rsidRDefault="000117E1" w:rsidP="000117E1">
            <w:pPr>
              <w:pStyle w:val="Akapitzlist"/>
              <w:numPr>
                <w:ilvl w:val="1"/>
                <w:numId w:val="1"/>
              </w:numPr>
              <w:suppressAutoHyphens/>
              <w:autoSpaceDE w:val="0"/>
              <w:autoSpaceDN w:val="0"/>
              <w:adjustRightInd w:val="0"/>
              <w:spacing w:before="120" w:after="120"/>
              <w:jc w:val="both"/>
              <w:rPr>
                <w:rFonts w:ascii="Times New Roman" w:eastAsia="Times New Roman" w:hAnsi="Times New Roman" w:cs="Times New Roman"/>
                <w:lang w:eastAsia="pl-PL"/>
              </w:rPr>
            </w:pPr>
            <w:r w:rsidRPr="000117E1">
              <w:rPr>
                <w:rFonts w:ascii="Times New Roman" w:eastAsia="Times New Roman" w:hAnsi="Times New Roman" w:cs="Times New Roman"/>
                <w:lang w:eastAsia="pl-PL"/>
              </w:rPr>
              <w:t>Rekomendacja nr 248/2014 z dna 1 grudnia 2014 r. Prezesa Agencji Oceny Technologii Medycznych w sprawie zakwalifikowania świadczenia opieki zdrowotnej „wprowadzenie protezy metalowej do moczowodu albo cewki moczowej”, jako świadczenia gwarantowanego, w zakresie leczenia szpitalnego</w:t>
            </w:r>
          </w:p>
          <w:p w14:paraId="455A0C78" w14:textId="77777777" w:rsidR="000117E1" w:rsidRDefault="000117E1" w:rsidP="000117E1">
            <w:pPr>
              <w:pStyle w:val="Akapitzlist"/>
              <w:numPr>
                <w:ilvl w:val="1"/>
                <w:numId w:val="1"/>
              </w:numPr>
              <w:suppressAutoHyphens/>
              <w:autoSpaceDE w:val="0"/>
              <w:autoSpaceDN w:val="0"/>
              <w:adjustRightInd w:val="0"/>
              <w:spacing w:before="120" w:after="120"/>
              <w:jc w:val="both"/>
              <w:rPr>
                <w:rFonts w:ascii="Times New Roman" w:eastAsia="Times New Roman" w:hAnsi="Times New Roman" w:cs="Times New Roman"/>
                <w:lang w:eastAsia="pl-PL"/>
              </w:rPr>
            </w:pPr>
            <w:r w:rsidRPr="000117E1">
              <w:rPr>
                <w:rFonts w:ascii="Times New Roman" w:eastAsia="Times New Roman" w:hAnsi="Times New Roman" w:cs="Times New Roman"/>
                <w:lang w:eastAsia="pl-PL"/>
              </w:rPr>
              <w:t>Rekomendacja nr 213/2014 z dnia 8 września 2014 r. Prezesa Agencji Oceny Technologii Medycznych w sprawie zakwalifikowania świadczenia „Neuromodulacja krzyżowa w leczeniu zaburzeń czynności dolnych dróg moczowych” jako świadczenia gwarantowanego, w zakresie leczenia szpitalnego</w:t>
            </w:r>
          </w:p>
          <w:p w14:paraId="2A9D2DC3" w14:textId="77777777" w:rsidR="00761362" w:rsidRDefault="00761362" w:rsidP="00761362">
            <w:pPr>
              <w:pStyle w:val="Akapitzlist"/>
              <w:numPr>
                <w:ilvl w:val="1"/>
                <w:numId w:val="1"/>
              </w:numPr>
              <w:suppressAutoHyphens/>
              <w:autoSpaceDE w:val="0"/>
              <w:autoSpaceDN w:val="0"/>
              <w:adjustRightInd w:val="0"/>
              <w:spacing w:before="120" w:after="120"/>
              <w:jc w:val="both"/>
              <w:rPr>
                <w:rFonts w:ascii="Times New Roman" w:eastAsia="Times New Roman" w:hAnsi="Times New Roman" w:cs="Times New Roman"/>
                <w:lang w:eastAsia="pl-PL"/>
              </w:rPr>
            </w:pPr>
            <w:r>
              <w:rPr>
                <w:rFonts w:ascii="Times New Roman" w:eastAsia="Times New Roman" w:hAnsi="Times New Roman" w:cs="Times New Roman"/>
                <w:lang w:eastAsia="pl-PL"/>
              </w:rPr>
              <w:t>Rekomendacja</w:t>
            </w:r>
            <w:r w:rsidRPr="000117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nr 254/2014 z dnia 15 grudnia 2014 r. </w:t>
            </w:r>
            <w:r w:rsidRPr="000117E1">
              <w:rPr>
                <w:rFonts w:ascii="Times New Roman" w:eastAsia="Times New Roman" w:hAnsi="Times New Roman" w:cs="Times New Roman"/>
                <w:lang w:eastAsia="pl-PL"/>
              </w:rPr>
              <w:t>Prezesa Agencji Oceny Technologii Medycznych w sprawie zakwalifikowania świadczenia</w:t>
            </w:r>
            <w:r>
              <w:rPr>
                <w:rFonts w:ascii="Times New Roman" w:eastAsia="Times New Roman" w:hAnsi="Times New Roman" w:cs="Times New Roman"/>
                <w:lang w:eastAsia="pl-PL"/>
              </w:rPr>
              <w:t xml:space="preserve"> opieki zdrowotnej</w:t>
            </w:r>
            <w:r w:rsidRPr="000117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leczenie chirurgiczne raka jelita grubego z zastosowaniem systemu robotowego</w:t>
            </w:r>
            <w:r w:rsidRPr="000117E1">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0117E1">
              <w:rPr>
                <w:rFonts w:ascii="Times New Roman" w:eastAsia="Times New Roman" w:hAnsi="Times New Roman" w:cs="Times New Roman"/>
                <w:lang w:eastAsia="pl-PL"/>
              </w:rPr>
              <w:t xml:space="preserve"> j</w:t>
            </w:r>
            <w:r>
              <w:rPr>
                <w:rFonts w:ascii="Times New Roman" w:eastAsia="Times New Roman" w:hAnsi="Times New Roman" w:cs="Times New Roman"/>
                <w:lang w:eastAsia="pl-PL"/>
              </w:rPr>
              <w:t>ako świadczenia gwarantowanego</w:t>
            </w:r>
          </w:p>
          <w:p w14:paraId="6AF16755" w14:textId="77777777" w:rsidR="00761362" w:rsidRDefault="00761362" w:rsidP="00761362">
            <w:pPr>
              <w:pStyle w:val="Akapitzlist"/>
              <w:numPr>
                <w:ilvl w:val="1"/>
                <w:numId w:val="1"/>
              </w:numPr>
              <w:suppressAutoHyphens/>
              <w:autoSpaceDE w:val="0"/>
              <w:autoSpaceDN w:val="0"/>
              <w:adjustRightInd w:val="0"/>
              <w:spacing w:before="120" w:after="120"/>
              <w:jc w:val="both"/>
              <w:rPr>
                <w:rFonts w:ascii="Times New Roman" w:eastAsia="Times New Roman" w:hAnsi="Times New Roman" w:cs="Times New Roman"/>
                <w:lang w:eastAsia="pl-PL"/>
              </w:rPr>
            </w:pPr>
            <w:r>
              <w:rPr>
                <w:rFonts w:ascii="Times New Roman" w:eastAsia="Times New Roman" w:hAnsi="Times New Roman" w:cs="Times New Roman"/>
                <w:lang w:eastAsia="pl-PL"/>
              </w:rPr>
              <w:t>Rekomendacja</w:t>
            </w:r>
            <w:r w:rsidRPr="000117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nr 255/2014 z dnia 15 grudnia 2014 r. </w:t>
            </w:r>
            <w:r w:rsidRPr="000117E1">
              <w:rPr>
                <w:rFonts w:ascii="Times New Roman" w:eastAsia="Times New Roman" w:hAnsi="Times New Roman" w:cs="Times New Roman"/>
                <w:lang w:eastAsia="pl-PL"/>
              </w:rPr>
              <w:t>Prezesa Agencji Oceny Technologii Medycznych w sprawie zakwalifikowania świadczenia</w:t>
            </w:r>
            <w:r>
              <w:rPr>
                <w:rFonts w:ascii="Times New Roman" w:eastAsia="Times New Roman" w:hAnsi="Times New Roman" w:cs="Times New Roman"/>
                <w:lang w:eastAsia="pl-PL"/>
              </w:rPr>
              <w:t xml:space="preserve"> opieki zdrowotnej</w:t>
            </w:r>
            <w:r w:rsidRPr="000117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leczenie chirurgiczne raka gruczołu krokowego z zastosowaniem systemu robotowego</w:t>
            </w:r>
            <w:r w:rsidRPr="000117E1">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0117E1">
              <w:rPr>
                <w:rFonts w:ascii="Times New Roman" w:eastAsia="Times New Roman" w:hAnsi="Times New Roman" w:cs="Times New Roman"/>
                <w:lang w:eastAsia="pl-PL"/>
              </w:rPr>
              <w:t xml:space="preserve"> j</w:t>
            </w:r>
            <w:r>
              <w:rPr>
                <w:rFonts w:ascii="Times New Roman" w:eastAsia="Times New Roman" w:hAnsi="Times New Roman" w:cs="Times New Roman"/>
                <w:lang w:eastAsia="pl-PL"/>
              </w:rPr>
              <w:t>ako świadczenia gwarantowanego</w:t>
            </w:r>
          </w:p>
          <w:p w14:paraId="4A160B62" w14:textId="77777777" w:rsidR="00761362" w:rsidRPr="00CC272B" w:rsidRDefault="00761362" w:rsidP="00CC272B">
            <w:pPr>
              <w:pStyle w:val="Akapitzlist"/>
              <w:numPr>
                <w:ilvl w:val="1"/>
                <w:numId w:val="1"/>
              </w:numPr>
              <w:suppressAutoHyphens/>
              <w:autoSpaceDE w:val="0"/>
              <w:autoSpaceDN w:val="0"/>
              <w:adjustRightInd w:val="0"/>
              <w:spacing w:before="120" w:after="120"/>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Rekomendacja</w:t>
            </w:r>
            <w:r w:rsidRPr="000117E1">
              <w:rPr>
                <w:rFonts w:ascii="Times New Roman" w:eastAsia="Times New Roman" w:hAnsi="Times New Roman" w:cs="Times New Roman"/>
                <w:lang w:eastAsia="pl-PL"/>
              </w:rPr>
              <w:t xml:space="preserve"> </w:t>
            </w:r>
            <w:r w:rsidR="00CC272B">
              <w:rPr>
                <w:rFonts w:ascii="Times New Roman" w:eastAsia="Times New Roman" w:hAnsi="Times New Roman" w:cs="Times New Roman"/>
                <w:lang w:eastAsia="pl-PL"/>
              </w:rPr>
              <w:t xml:space="preserve"> nr 256</w:t>
            </w:r>
            <w:r>
              <w:rPr>
                <w:rFonts w:ascii="Times New Roman" w:eastAsia="Times New Roman" w:hAnsi="Times New Roman" w:cs="Times New Roman"/>
                <w:lang w:eastAsia="pl-PL"/>
              </w:rPr>
              <w:t xml:space="preserve">/2014 z dnia 15 grudnia 2014 r. </w:t>
            </w:r>
            <w:r w:rsidRPr="000117E1">
              <w:rPr>
                <w:rFonts w:ascii="Times New Roman" w:eastAsia="Times New Roman" w:hAnsi="Times New Roman" w:cs="Times New Roman"/>
                <w:lang w:eastAsia="pl-PL"/>
              </w:rPr>
              <w:t>Prezesa Agencji Oceny Technologii Medycznych w sprawie zakwalifikowania świadczenia</w:t>
            </w:r>
            <w:r>
              <w:rPr>
                <w:rFonts w:ascii="Times New Roman" w:eastAsia="Times New Roman" w:hAnsi="Times New Roman" w:cs="Times New Roman"/>
                <w:lang w:eastAsia="pl-PL"/>
              </w:rPr>
              <w:t xml:space="preserve"> opieki zdrowotnej</w:t>
            </w:r>
            <w:r w:rsidRPr="000117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leczenie chirurgiczne raka</w:t>
            </w:r>
            <w:r w:rsidR="00CC272B">
              <w:rPr>
                <w:rFonts w:ascii="Times New Roman" w:eastAsia="Times New Roman" w:hAnsi="Times New Roman" w:cs="Times New Roman"/>
                <w:lang w:eastAsia="pl-PL"/>
              </w:rPr>
              <w:t xml:space="preserve"> błony śluzowej macicy</w:t>
            </w:r>
            <w:r>
              <w:rPr>
                <w:rFonts w:ascii="Times New Roman" w:eastAsia="Times New Roman" w:hAnsi="Times New Roman" w:cs="Times New Roman"/>
                <w:lang w:eastAsia="pl-PL"/>
              </w:rPr>
              <w:t xml:space="preserve"> z zastosowaniem systemu robotowego</w:t>
            </w:r>
            <w:r w:rsidRPr="000117E1">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0117E1">
              <w:rPr>
                <w:rFonts w:ascii="Times New Roman" w:eastAsia="Times New Roman" w:hAnsi="Times New Roman" w:cs="Times New Roman"/>
                <w:lang w:eastAsia="pl-PL"/>
              </w:rPr>
              <w:t xml:space="preserve"> j</w:t>
            </w:r>
            <w:r>
              <w:rPr>
                <w:rFonts w:ascii="Times New Roman" w:eastAsia="Times New Roman" w:hAnsi="Times New Roman" w:cs="Times New Roman"/>
                <w:lang w:eastAsia="pl-PL"/>
              </w:rPr>
              <w:t>ako świadczenia gwarantowanego</w:t>
            </w:r>
          </w:p>
          <w:p w14:paraId="4ABF90D5" w14:textId="77777777" w:rsidR="00761362" w:rsidRDefault="00761362" w:rsidP="00761362">
            <w:pPr>
              <w:pStyle w:val="Akapitzlist"/>
              <w:numPr>
                <w:ilvl w:val="1"/>
                <w:numId w:val="1"/>
              </w:numPr>
              <w:suppressAutoHyphens/>
              <w:autoSpaceDE w:val="0"/>
              <w:autoSpaceDN w:val="0"/>
              <w:adjustRightInd w:val="0"/>
              <w:spacing w:before="120" w:after="120"/>
              <w:jc w:val="both"/>
              <w:rPr>
                <w:rFonts w:ascii="Times New Roman" w:eastAsia="Times New Roman" w:hAnsi="Times New Roman" w:cs="Times New Roman"/>
                <w:lang w:eastAsia="pl-PL"/>
              </w:rPr>
            </w:pPr>
            <w:r>
              <w:rPr>
                <w:rFonts w:ascii="Times New Roman" w:eastAsia="Times New Roman" w:hAnsi="Times New Roman" w:cs="Times New Roman"/>
                <w:lang w:eastAsia="pl-PL"/>
              </w:rPr>
              <w:t>Opinii</w:t>
            </w:r>
            <w:r w:rsidRPr="00761362">
              <w:rPr>
                <w:rFonts w:ascii="Times New Roman" w:eastAsia="Times New Roman" w:hAnsi="Times New Roman" w:cs="Times New Roman"/>
                <w:lang w:eastAsia="pl-PL"/>
              </w:rPr>
              <w:t xml:space="preserve"> Prezesa Agencji Oceny Technologii Medycznych i Taryfikacji z dnia 23 maja 2017 r. w zakresie zweryfikowania aktualności informacji zawartych we wcześniejszych rekomendacjach Prezesa Agencji dla zastosowania systemu chirurgicznego da Vinci we wskazaniach: rak jelita grubego, rak gruczołu krokowego, rak błony śluzowej macicy.</w:t>
            </w:r>
          </w:p>
          <w:p w14:paraId="32241A3D" w14:textId="77777777" w:rsidR="00097666" w:rsidRDefault="00097666" w:rsidP="00097666">
            <w:pPr>
              <w:pStyle w:val="Akapitzlist"/>
              <w:numPr>
                <w:ilvl w:val="1"/>
                <w:numId w:val="1"/>
              </w:numPr>
              <w:suppressAutoHyphens/>
              <w:autoSpaceDE w:val="0"/>
              <w:autoSpaceDN w:val="0"/>
              <w:adjustRightInd w:val="0"/>
              <w:spacing w:before="120" w:after="120"/>
              <w:jc w:val="both"/>
              <w:rPr>
                <w:rFonts w:ascii="Times New Roman" w:eastAsia="Times New Roman" w:hAnsi="Times New Roman" w:cs="Times New Roman"/>
                <w:lang w:eastAsia="pl-PL"/>
              </w:rPr>
            </w:pPr>
            <w:r w:rsidRPr="00097666">
              <w:rPr>
                <w:rFonts w:ascii="Times New Roman" w:eastAsia="Times New Roman" w:hAnsi="Times New Roman" w:cs="Times New Roman"/>
                <w:lang w:eastAsia="pl-PL"/>
              </w:rPr>
              <w:t>Rekomendacja nr 5/2017 z dna 3 lutego 2017 r. Prezesa Agencji Oceny Technologii Medycznych i Taryfikacji w</w:t>
            </w:r>
            <w:r>
              <w:rPr>
                <w:rFonts w:ascii="Times New Roman" w:eastAsia="Times New Roman" w:hAnsi="Times New Roman" w:cs="Times New Roman"/>
                <w:lang w:eastAsia="pl-PL"/>
              </w:rPr>
              <w:t> </w:t>
            </w:r>
            <w:r w:rsidRPr="00097666">
              <w:rPr>
                <w:rFonts w:ascii="Times New Roman" w:eastAsia="Times New Roman" w:hAnsi="Times New Roman" w:cs="Times New Roman"/>
                <w:lang w:eastAsia="pl-PL"/>
              </w:rPr>
              <w:t>sprawie zakwalifikowania świadczenia opieki zdrowotnej „Chirurgiczne leczenie otyłości: rękawowa resekcja żołądka, wyłączenie żołądkowe metodą Roux-en by pass, wyłączenie żołądkowe metodą Mini gastric bypass” jako świadczenia gwarantowanego w ramach leczenia szpitalnego</w:t>
            </w:r>
          </w:p>
          <w:p w14:paraId="2E0F6E5A" w14:textId="77777777" w:rsidR="00174C75" w:rsidRPr="00442C01" w:rsidRDefault="007067E7" w:rsidP="007067E7">
            <w:pPr>
              <w:pStyle w:val="Akapitzlist"/>
              <w:numPr>
                <w:ilvl w:val="1"/>
                <w:numId w:val="1"/>
              </w:numPr>
              <w:suppressAutoHyphens/>
              <w:autoSpaceDE w:val="0"/>
              <w:autoSpaceDN w:val="0"/>
              <w:adjustRightInd w:val="0"/>
              <w:spacing w:before="120" w:after="120"/>
              <w:jc w:val="both"/>
              <w:rPr>
                <w:rFonts w:ascii="Times New Roman" w:eastAsia="Times New Roman" w:hAnsi="Times New Roman" w:cs="Times New Roman"/>
                <w:lang w:eastAsia="pl-PL"/>
              </w:rPr>
            </w:pPr>
            <w:r w:rsidRPr="007067E7">
              <w:rPr>
                <w:rFonts w:ascii="Times New Roman" w:eastAsia="Times New Roman" w:hAnsi="Times New Roman" w:cs="Times New Roman"/>
                <w:lang w:eastAsia="pl-PL"/>
              </w:rPr>
              <w:t>Rekomendacja nr 20/2017 z dnia 31 marca 2017 r. Prezesa Agencji Oceny Technologii Medycznych i Taryfikacji w</w:t>
            </w:r>
            <w:r>
              <w:rPr>
                <w:rFonts w:ascii="Times New Roman" w:eastAsia="Times New Roman" w:hAnsi="Times New Roman" w:cs="Times New Roman"/>
                <w:lang w:eastAsia="pl-PL"/>
              </w:rPr>
              <w:t> </w:t>
            </w:r>
            <w:r w:rsidRPr="007067E7">
              <w:rPr>
                <w:rFonts w:ascii="Times New Roman" w:eastAsia="Times New Roman" w:hAnsi="Times New Roman" w:cs="Times New Roman"/>
                <w:lang w:eastAsia="pl-PL"/>
              </w:rPr>
              <w:t>sprawie zakwalifikowania świadczenia opieki zdrowotnej „terapia łączona mechanicznego udrażniania tętnic z</w:t>
            </w:r>
            <w:r>
              <w:rPr>
                <w:rFonts w:ascii="Times New Roman" w:eastAsia="Times New Roman" w:hAnsi="Times New Roman" w:cs="Times New Roman"/>
                <w:lang w:eastAsia="pl-PL"/>
              </w:rPr>
              <w:t> </w:t>
            </w:r>
            <w:r w:rsidRPr="007067E7">
              <w:rPr>
                <w:rFonts w:ascii="Times New Roman" w:eastAsia="Times New Roman" w:hAnsi="Times New Roman" w:cs="Times New Roman"/>
                <w:lang w:eastAsia="pl-PL"/>
              </w:rPr>
              <w:t>podaniem leku fibrynolitycznego w ostrej fazie udaru niedokrwiennego”, jako świadczenia gwarantowanego z</w:t>
            </w:r>
            <w:r>
              <w:rPr>
                <w:rFonts w:ascii="Times New Roman" w:eastAsia="Times New Roman" w:hAnsi="Times New Roman" w:cs="Times New Roman"/>
                <w:lang w:eastAsia="pl-PL"/>
              </w:rPr>
              <w:t> </w:t>
            </w:r>
            <w:r w:rsidRPr="007067E7">
              <w:rPr>
                <w:rFonts w:ascii="Times New Roman" w:eastAsia="Times New Roman" w:hAnsi="Times New Roman" w:cs="Times New Roman"/>
                <w:lang w:eastAsia="pl-PL"/>
              </w:rPr>
              <w:t>zakresu leczenie szpitalne</w:t>
            </w:r>
          </w:p>
        </w:tc>
      </w:tr>
    </w:tbl>
    <w:p w14:paraId="7B966347" w14:textId="77777777" w:rsidR="00E23702" w:rsidRPr="00442C01" w:rsidRDefault="00E23702">
      <w:pPr>
        <w:rPr>
          <w:rFonts w:ascii="Times New Roman" w:hAnsi="Times New Roman" w:cs="Times New Roman"/>
        </w:rPr>
      </w:pPr>
    </w:p>
    <w:sectPr w:rsidR="00E23702" w:rsidRPr="00442C01" w:rsidSect="00761362">
      <w:pgSz w:w="11906" w:h="16838"/>
      <w:pgMar w:top="284"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72A7F" w14:textId="77777777" w:rsidR="009F7EE8" w:rsidRDefault="009F7EE8" w:rsidP="00305214">
      <w:pPr>
        <w:spacing w:after="0" w:line="240" w:lineRule="auto"/>
      </w:pPr>
      <w:r>
        <w:separator/>
      </w:r>
    </w:p>
  </w:endnote>
  <w:endnote w:type="continuationSeparator" w:id="0">
    <w:p w14:paraId="44799B06" w14:textId="77777777" w:rsidR="009F7EE8" w:rsidRDefault="009F7EE8" w:rsidP="0030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9820F" w14:textId="77777777" w:rsidR="009F7EE8" w:rsidRDefault="009F7EE8" w:rsidP="00305214">
      <w:pPr>
        <w:spacing w:after="0" w:line="240" w:lineRule="auto"/>
      </w:pPr>
      <w:r>
        <w:separator/>
      </w:r>
    </w:p>
  </w:footnote>
  <w:footnote w:type="continuationSeparator" w:id="0">
    <w:p w14:paraId="7F441096" w14:textId="77777777" w:rsidR="009F7EE8" w:rsidRDefault="009F7EE8" w:rsidP="00305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303E0850"/>
    <w:lvl w:ilvl="0">
      <w:start w:val="1"/>
      <w:numFmt w:val="decimal"/>
      <w:lvlText w:val="%1."/>
      <w:lvlJc w:val="left"/>
      <w:rPr>
        <w:rFonts w:ascii="Arial" w:hAnsi="Arial" w:cs="Arial" w:hint="default"/>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15:restartNumberingAfterBreak="0">
    <w:nsid w:val="11C324EF"/>
    <w:multiLevelType w:val="hybridMultilevel"/>
    <w:tmpl w:val="40CAC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A12A86"/>
    <w:multiLevelType w:val="hybridMultilevel"/>
    <w:tmpl w:val="E2882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2A41E7"/>
    <w:multiLevelType w:val="hybridMultilevel"/>
    <w:tmpl w:val="0046CBB6"/>
    <w:lvl w:ilvl="0" w:tplc="680E46FE">
      <w:start w:val="1"/>
      <w:numFmt w:val="decimal"/>
      <w:lvlText w:val="%1."/>
      <w:lvlJc w:val="left"/>
      <w:pPr>
        <w:tabs>
          <w:tab w:val="num" w:pos="360"/>
        </w:tabs>
        <w:ind w:left="360" w:hanging="360"/>
      </w:pPr>
      <w:rPr>
        <w:rFonts w:hint="default"/>
        <w:b/>
      </w:rPr>
    </w:lvl>
    <w:lvl w:ilvl="1" w:tplc="EFE605D8">
      <w:start w:val="1"/>
      <w:numFmt w:val="decimal"/>
      <w:lvlText w:val="%2)"/>
      <w:lvlJc w:val="left"/>
      <w:pPr>
        <w:tabs>
          <w:tab w:val="num" w:pos="-360"/>
        </w:tabs>
        <w:ind w:left="360" w:hanging="360"/>
      </w:pPr>
      <w:rPr>
        <w:rFonts w:hint="default"/>
        <w:b w:val="0"/>
        <w:color w:val="auto"/>
      </w:rPr>
    </w:lvl>
    <w:lvl w:ilvl="2" w:tplc="4D7CF262">
      <w:start w:val="1"/>
      <w:numFmt w:val="decimal"/>
      <w:lvlText w:val="%3)"/>
      <w:lvlJc w:val="left"/>
      <w:pPr>
        <w:tabs>
          <w:tab w:val="num" w:pos="-360"/>
        </w:tabs>
        <w:ind w:left="36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E52"/>
    <w:rsid w:val="000117E1"/>
    <w:rsid w:val="000916D8"/>
    <w:rsid w:val="00097666"/>
    <w:rsid w:val="000B5BFD"/>
    <w:rsid w:val="000F125C"/>
    <w:rsid w:val="0010032A"/>
    <w:rsid w:val="00132F72"/>
    <w:rsid w:val="001372B2"/>
    <w:rsid w:val="00152F46"/>
    <w:rsid w:val="00154D11"/>
    <w:rsid w:val="00154DC8"/>
    <w:rsid w:val="00174C75"/>
    <w:rsid w:val="00177EE4"/>
    <w:rsid w:val="001826D2"/>
    <w:rsid w:val="001910DE"/>
    <w:rsid w:val="001F71C1"/>
    <w:rsid w:val="00206F40"/>
    <w:rsid w:val="00235439"/>
    <w:rsid w:val="00267C38"/>
    <w:rsid w:val="002752CB"/>
    <w:rsid w:val="002A4F89"/>
    <w:rsid w:val="002D29F4"/>
    <w:rsid w:val="002E0C70"/>
    <w:rsid w:val="002E23EF"/>
    <w:rsid w:val="00305214"/>
    <w:rsid w:val="003649D9"/>
    <w:rsid w:val="0037012C"/>
    <w:rsid w:val="00371E0B"/>
    <w:rsid w:val="00402FAB"/>
    <w:rsid w:val="00425A40"/>
    <w:rsid w:val="00442C01"/>
    <w:rsid w:val="004636A4"/>
    <w:rsid w:val="00485EA6"/>
    <w:rsid w:val="004C257A"/>
    <w:rsid w:val="004C2B84"/>
    <w:rsid w:val="004E2687"/>
    <w:rsid w:val="004F4240"/>
    <w:rsid w:val="004F7ED7"/>
    <w:rsid w:val="005006A7"/>
    <w:rsid w:val="00512872"/>
    <w:rsid w:val="00534EBC"/>
    <w:rsid w:val="00542169"/>
    <w:rsid w:val="00553C66"/>
    <w:rsid w:val="005627A1"/>
    <w:rsid w:val="00594879"/>
    <w:rsid w:val="005A0888"/>
    <w:rsid w:val="005A3B1E"/>
    <w:rsid w:val="005B08CB"/>
    <w:rsid w:val="0062444A"/>
    <w:rsid w:val="006542DF"/>
    <w:rsid w:val="006D5A99"/>
    <w:rsid w:val="006D7550"/>
    <w:rsid w:val="006F4194"/>
    <w:rsid w:val="0070097F"/>
    <w:rsid w:val="007067E7"/>
    <w:rsid w:val="00755452"/>
    <w:rsid w:val="00761362"/>
    <w:rsid w:val="007A5C3D"/>
    <w:rsid w:val="007B0B5C"/>
    <w:rsid w:val="007B1E52"/>
    <w:rsid w:val="007D6324"/>
    <w:rsid w:val="007D7539"/>
    <w:rsid w:val="007F0B4A"/>
    <w:rsid w:val="00824CDA"/>
    <w:rsid w:val="00877481"/>
    <w:rsid w:val="00886E7E"/>
    <w:rsid w:val="008954AF"/>
    <w:rsid w:val="008D2169"/>
    <w:rsid w:val="008D35D1"/>
    <w:rsid w:val="008F2FDE"/>
    <w:rsid w:val="008F7F64"/>
    <w:rsid w:val="0090452C"/>
    <w:rsid w:val="00917532"/>
    <w:rsid w:val="0093510B"/>
    <w:rsid w:val="00950CA5"/>
    <w:rsid w:val="00961053"/>
    <w:rsid w:val="009D756E"/>
    <w:rsid w:val="009F7EE8"/>
    <w:rsid w:val="00A277A0"/>
    <w:rsid w:val="00A471BE"/>
    <w:rsid w:val="00A63438"/>
    <w:rsid w:val="00A75878"/>
    <w:rsid w:val="00A83DFF"/>
    <w:rsid w:val="00A9044D"/>
    <w:rsid w:val="00AA4C62"/>
    <w:rsid w:val="00AD6337"/>
    <w:rsid w:val="00B000FC"/>
    <w:rsid w:val="00B0203A"/>
    <w:rsid w:val="00B0588D"/>
    <w:rsid w:val="00B15C49"/>
    <w:rsid w:val="00B17DC3"/>
    <w:rsid w:val="00B22AE1"/>
    <w:rsid w:val="00B33D36"/>
    <w:rsid w:val="00B4201C"/>
    <w:rsid w:val="00B61FEA"/>
    <w:rsid w:val="00B87202"/>
    <w:rsid w:val="00B92A16"/>
    <w:rsid w:val="00B957B8"/>
    <w:rsid w:val="00BB77D7"/>
    <w:rsid w:val="00BC72DF"/>
    <w:rsid w:val="00BF3A25"/>
    <w:rsid w:val="00C11336"/>
    <w:rsid w:val="00C14F02"/>
    <w:rsid w:val="00C203E3"/>
    <w:rsid w:val="00C761E8"/>
    <w:rsid w:val="00C84EA5"/>
    <w:rsid w:val="00CA66B0"/>
    <w:rsid w:val="00CC272B"/>
    <w:rsid w:val="00CD27AF"/>
    <w:rsid w:val="00CF7D6A"/>
    <w:rsid w:val="00D06676"/>
    <w:rsid w:val="00D069E7"/>
    <w:rsid w:val="00D07385"/>
    <w:rsid w:val="00D74291"/>
    <w:rsid w:val="00D85721"/>
    <w:rsid w:val="00D92E99"/>
    <w:rsid w:val="00DA135B"/>
    <w:rsid w:val="00DB3531"/>
    <w:rsid w:val="00DC08D1"/>
    <w:rsid w:val="00DE7C09"/>
    <w:rsid w:val="00DF7E2C"/>
    <w:rsid w:val="00E20D45"/>
    <w:rsid w:val="00E23702"/>
    <w:rsid w:val="00E53AAA"/>
    <w:rsid w:val="00EA5058"/>
    <w:rsid w:val="00EC17FD"/>
    <w:rsid w:val="00EF4C94"/>
    <w:rsid w:val="00F427AA"/>
    <w:rsid w:val="00F51672"/>
    <w:rsid w:val="00F71928"/>
    <w:rsid w:val="00F7208F"/>
    <w:rsid w:val="00F80B35"/>
    <w:rsid w:val="00FB4812"/>
    <w:rsid w:val="00FC2B2C"/>
    <w:rsid w:val="00FD7FBA"/>
    <w:rsid w:val="00FF0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F4F0"/>
  <w15:docId w15:val="{0F593F5E-F7DD-4B91-92A9-6C8B2A1D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442C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752CB"/>
    <w:rPr>
      <w:sz w:val="16"/>
      <w:szCs w:val="16"/>
    </w:rPr>
  </w:style>
  <w:style w:type="paragraph" w:styleId="Tekstkomentarza">
    <w:name w:val="annotation text"/>
    <w:basedOn w:val="Normalny"/>
    <w:link w:val="TekstkomentarzaZnak"/>
    <w:uiPriority w:val="99"/>
    <w:semiHidden/>
    <w:unhideWhenUsed/>
    <w:rsid w:val="002752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2CB"/>
    <w:rPr>
      <w:sz w:val="20"/>
      <w:szCs w:val="20"/>
    </w:rPr>
  </w:style>
  <w:style w:type="paragraph" w:styleId="Tematkomentarza">
    <w:name w:val="annotation subject"/>
    <w:basedOn w:val="Tekstkomentarza"/>
    <w:next w:val="Tekstkomentarza"/>
    <w:link w:val="TematkomentarzaZnak"/>
    <w:uiPriority w:val="99"/>
    <w:semiHidden/>
    <w:unhideWhenUsed/>
    <w:rsid w:val="002752CB"/>
    <w:rPr>
      <w:b/>
      <w:bCs/>
    </w:rPr>
  </w:style>
  <w:style w:type="character" w:customStyle="1" w:styleId="TematkomentarzaZnak">
    <w:name w:val="Temat komentarza Znak"/>
    <w:basedOn w:val="TekstkomentarzaZnak"/>
    <w:link w:val="Tematkomentarza"/>
    <w:uiPriority w:val="99"/>
    <w:semiHidden/>
    <w:rsid w:val="002752CB"/>
    <w:rPr>
      <w:b/>
      <w:bCs/>
      <w:sz w:val="20"/>
      <w:szCs w:val="20"/>
    </w:rPr>
  </w:style>
  <w:style w:type="paragraph" w:styleId="Tekstdymka">
    <w:name w:val="Balloon Text"/>
    <w:basedOn w:val="Normalny"/>
    <w:link w:val="TekstdymkaZnak"/>
    <w:uiPriority w:val="99"/>
    <w:semiHidden/>
    <w:unhideWhenUsed/>
    <w:rsid w:val="002752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52CB"/>
    <w:rPr>
      <w:rFonts w:ascii="Segoe UI" w:hAnsi="Segoe UI" w:cs="Segoe UI"/>
      <w:sz w:val="18"/>
      <w:szCs w:val="18"/>
    </w:rPr>
  </w:style>
  <w:style w:type="character" w:customStyle="1" w:styleId="Nagwek3Znak">
    <w:name w:val="Nagłówek 3 Znak"/>
    <w:basedOn w:val="Domylnaczcionkaakapitu"/>
    <w:link w:val="Nagwek3"/>
    <w:uiPriority w:val="9"/>
    <w:rsid w:val="00442C01"/>
    <w:rPr>
      <w:rFonts w:asciiTheme="majorHAnsi" w:eastAsiaTheme="majorEastAsia" w:hAnsiTheme="majorHAnsi" w:cstheme="majorBidi"/>
      <w:color w:val="243F60" w:themeColor="accent1" w:themeShade="7F"/>
      <w:sz w:val="24"/>
      <w:szCs w:val="24"/>
    </w:rPr>
  </w:style>
  <w:style w:type="paragraph" w:styleId="Akapitzlist">
    <w:name w:val="List Paragraph"/>
    <w:basedOn w:val="Normalny"/>
    <w:uiPriority w:val="34"/>
    <w:qFormat/>
    <w:rsid w:val="00C84EA5"/>
    <w:pPr>
      <w:ind w:left="720"/>
      <w:contextualSpacing/>
    </w:pPr>
  </w:style>
  <w:style w:type="character" w:customStyle="1" w:styleId="Teksttreci4">
    <w:name w:val="Tekst treści (4)_"/>
    <w:link w:val="Teksttreci41"/>
    <w:rsid w:val="00152F46"/>
    <w:rPr>
      <w:sz w:val="19"/>
      <w:szCs w:val="19"/>
      <w:shd w:val="clear" w:color="auto" w:fill="FFFFFF"/>
    </w:rPr>
  </w:style>
  <w:style w:type="paragraph" w:customStyle="1" w:styleId="Teksttreci41">
    <w:name w:val="Tekst treści (4)1"/>
    <w:basedOn w:val="Normalny"/>
    <w:link w:val="Teksttreci4"/>
    <w:rsid w:val="00152F46"/>
    <w:pPr>
      <w:widowControl w:val="0"/>
      <w:shd w:val="clear" w:color="auto" w:fill="FFFFFF"/>
      <w:spacing w:after="0" w:line="254" w:lineRule="exact"/>
      <w:ind w:hanging="380"/>
      <w:jc w:val="both"/>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610">
      <w:bodyDiv w:val="1"/>
      <w:marLeft w:val="0"/>
      <w:marRight w:val="0"/>
      <w:marTop w:val="0"/>
      <w:marBottom w:val="0"/>
      <w:divBdr>
        <w:top w:val="none" w:sz="0" w:space="0" w:color="auto"/>
        <w:left w:val="none" w:sz="0" w:space="0" w:color="auto"/>
        <w:bottom w:val="none" w:sz="0" w:space="0" w:color="auto"/>
        <w:right w:val="none" w:sz="0" w:space="0" w:color="auto"/>
      </w:divBdr>
    </w:div>
    <w:div w:id="1747995917">
      <w:bodyDiv w:val="1"/>
      <w:marLeft w:val="0"/>
      <w:marRight w:val="0"/>
      <w:marTop w:val="0"/>
      <w:marBottom w:val="0"/>
      <w:divBdr>
        <w:top w:val="none" w:sz="0" w:space="0" w:color="auto"/>
        <w:left w:val="none" w:sz="0" w:space="0" w:color="auto"/>
        <w:bottom w:val="none" w:sz="0" w:space="0" w:color="auto"/>
        <w:right w:val="none" w:sz="0" w:space="0" w:color="auto"/>
      </w:divBdr>
    </w:div>
    <w:div w:id="18679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alinowska@mz.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5193</Words>
  <Characters>31160</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Karwowska Teresa</dc:creator>
  <cp:lastModifiedBy>Katarzyna Chrobocińska</cp:lastModifiedBy>
  <cp:revision>2</cp:revision>
  <cp:lastPrinted>2017-12-18T09:42:00Z</cp:lastPrinted>
  <dcterms:created xsi:type="dcterms:W3CDTF">2018-01-04T12:32:00Z</dcterms:created>
  <dcterms:modified xsi:type="dcterms:W3CDTF">2018-01-04T12:32:00Z</dcterms:modified>
</cp:coreProperties>
</file>