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A0" w:firstRow="1" w:lastRow="0" w:firstColumn="1" w:lastColumn="0" w:noHBand="0" w:noVBand="0"/>
      </w:tblPr>
      <w:tblGrid>
        <w:gridCol w:w="1589"/>
        <w:gridCol w:w="7"/>
        <w:gridCol w:w="753"/>
        <w:gridCol w:w="319"/>
        <w:gridCol w:w="441"/>
        <w:gridCol w:w="438"/>
        <w:gridCol w:w="322"/>
        <w:gridCol w:w="20"/>
        <w:gridCol w:w="741"/>
        <w:gridCol w:w="196"/>
        <w:gridCol w:w="134"/>
        <w:gridCol w:w="151"/>
        <w:gridCol w:w="279"/>
        <w:gridCol w:w="374"/>
        <w:gridCol w:w="386"/>
        <w:gridCol w:w="481"/>
        <w:gridCol w:w="71"/>
        <w:gridCol w:w="208"/>
        <w:gridCol w:w="324"/>
        <w:gridCol w:w="280"/>
        <w:gridCol w:w="125"/>
        <w:gridCol w:w="32"/>
        <w:gridCol w:w="760"/>
        <w:gridCol w:w="146"/>
        <w:gridCol w:w="614"/>
        <w:gridCol w:w="324"/>
        <w:gridCol w:w="437"/>
        <w:gridCol w:w="985"/>
        <w:gridCol w:w="10"/>
      </w:tblGrid>
      <w:tr w:rsidR="007B1E52" w:rsidRPr="00442C01" w14:paraId="0D6EB6CA" w14:textId="77777777" w:rsidTr="00442C01">
        <w:trPr>
          <w:gridAfter w:val="1"/>
          <w:wAfter w:w="10" w:type="dxa"/>
          <w:trHeight w:val="1611"/>
        </w:trPr>
        <w:tc>
          <w:tcPr>
            <w:tcW w:w="6631" w:type="dxa"/>
            <w:gridSpan w:val="16"/>
          </w:tcPr>
          <w:p w14:paraId="248D2F03" w14:textId="77777777" w:rsidR="007B1E52" w:rsidRPr="00442C01" w:rsidRDefault="007B1E52" w:rsidP="00FF07A3">
            <w:pPr>
              <w:spacing w:after="0" w:line="240" w:lineRule="auto"/>
              <w:ind w:hanging="45"/>
              <w:rPr>
                <w:rFonts w:ascii="Times New Roman" w:eastAsia="Calibri" w:hAnsi="Times New Roman" w:cs="Times New Roman"/>
                <w:color w:val="000000"/>
              </w:rPr>
            </w:pPr>
            <w:bookmarkStart w:id="0" w:name="t1"/>
            <w:bookmarkStart w:id="1" w:name="_GoBack"/>
            <w:bookmarkEnd w:id="1"/>
            <w:r w:rsidRPr="00442C01">
              <w:rPr>
                <w:rFonts w:ascii="Times New Roman" w:eastAsia="Calibri" w:hAnsi="Times New Roman" w:cs="Times New Roman"/>
                <w:b/>
                <w:color w:val="000000"/>
              </w:rPr>
              <w:t>Nazwa projektu</w:t>
            </w:r>
          </w:p>
          <w:p w14:paraId="5751537D" w14:textId="77777777" w:rsidR="007B1E52" w:rsidRPr="00442C01" w:rsidRDefault="007B1E52" w:rsidP="00FF07A3">
            <w:pPr>
              <w:spacing w:after="0" w:line="240" w:lineRule="auto"/>
              <w:ind w:hanging="34"/>
              <w:jc w:val="both"/>
              <w:rPr>
                <w:rFonts w:ascii="Times New Roman" w:eastAsia="Calibri" w:hAnsi="Times New Roman" w:cs="Times New Roman"/>
                <w:color w:val="000000"/>
              </w:rPr>
            </w:pPr>
            <w:r w:rsidRPr="00442C01">
              <w:rPr>
                <w:rFonts w:ascii="Times New Roman" w:eastAsia="Calibri" w:hAnsi="Times New Roman" w:cs="Times New Roman"/>
              </w:rPr>
              <w:t xml:space="preserve">Projekt rozporządzenia Ministra Zdrowia zmieniającego rozporządzenie w sprawie świadczeń gwarantowanych z zakresu </w:t>
            </w:r>
            <w:r w:rsidR="00612230">
              <w:rPr>
                <w:rFonts w:ascii="Times New Roman" w:eastAsia="Calibri" w:hAnsi="Times New Roman" w:cs="Times New Roman"/>
              </w:rPr>
              <w:t>ambulatoryjnej opieki specjalistycznej</w:t>
            </w:r>
          </w:p>
          <w:p w14:paraId="65FCD499" w14:textId="77777777" w:rsidR="007B1E52" w:rsidRPr="00442C01" w:rsidRDefault="007B1E52" w:rsidP="00FF07A3">
            <w:pPr>
              <w:spacing w:after="0" w:line="240" w:lineRule="auto"/>
              <w:ind w:hanging="45"/>
              <w:rPr>
                <w:rFonts w:ascii="Times New Roman" w:eastAsia="Calibri" w:hAnsi="Times New Roman" w:cs="Times New Roman"/>
                <w:b/>
                <w:color w:val="000000"/>
              </w:rPr>
            </w:pPr>
            <w:r w:rsidRPr="00442C01">
              <w:rPr>
                <w:rFonts w:ascii="Times New Roman" w:eastAsia="Calibri" w:hAnsi="Times New Roman" w:cs="Times New Roman"/>
                <w:b/>
                <w:color w:val="000000"/>
              </w:rPr>
              <w:t>Ministerstwo wiodące i ministerstwa współpracujące</w:t>
            </w:r>
          </w:p>
          <w:bookmarkEnd w:id="0"/>
          <w:p w14:paraId="2F74EAE4" w14:textId="77777777" w:rsidR="007B1E52" w:rsidRPr="00442C01" w:rsidRDefault="007B1E52" w:rsidP="00FF07A3">
            <w:pPr>
              <w:spacing w:after="0" w:line="240" w:lineRule="auto"/>
              <w:ind w:hanging="34"/>
              <w:rPr>
                <w:rFonts w:ascii="Times New Roman" w:eastAsia="Calibri" w:hAnsi="Times New Roman" w:cs="Times New Roman"/>
                <w:color w:val="000000"/>
              </w:rPr>
            </w:pPr>
            <w:r w:rsidRPr="00442C01">
              <w:rPr>
                <w:rFonts w:ascii="Times New Roman" w:eastAsia="Calibri" w:hAnsi="Times New Roman" w:cs="Times New Roman"/>
                <w:color w:val="000000"/>
              </w:rPr>
              <w:t>Ministerstwo Zdrowia</w:t>
            </w:r>
          </w:p>
          <w:p w14:paraId="33640997" w14:textId="77777777" w:rsidR="007B1E52" w:rsidRPr="00442C01" w:rsidRDefault="007B1E52" w:rsidP="00FF07A3">
            <w:pPr>
              <w:spacing w:after="0" w:line="240" w:lineRule="auto"/>
              <w:rPr>
                <w:rFonts w:ascii="Times New Roman" w:eastAsia="Calibri" w:hAnsi="Times New Roman" w:cs="Times New Roman"/>
                <w:b/>
              </w:rPr>
            </w:pPr>
            <w:r w:rsidRPr="00442C01">
              <w:rPr>
                <w:rFonts w:ascii="Times New Roman" w:eastAsia="Calibri" w:hAnsi="Times New Roman" w:cs="Times New Roman"/>
                <w:b/>
              </w:rPr>
              <w:t xml:space="preserve">Osoba odpowiedzialna za projekt w randze Ministra, Sekretarza Stanu lub Podsekretarza Stanu </w:t>
            </w:r>
          </w:p>
          <w:p w14:paraId="1FD0BAC0" w14:textId="77777777" w:rsidR="007B1E52" w:rsidRPr="00442C01" w:rsidRDefault="00C761E8" w:rsidP="00FF07A3">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Zbigniew </w:t>
            </w:r>
            <w:r w:rsidR="00AC157C">
              <w:rPr>
                <w:rFonts w:ascii="Times New Roman" w:eastAsia="Calibri" w:hAnsi="Times New Roman" w:cs="Times New Roman"/>
              </w:rPr>
              <w:t xml:space="preserve">J. </w:t>
            </w:r>
            <w:r>
              <w:rPr>
                <w:rFonts w:ascii="Times New Roman" w:eastAsia="Calibri" w:hAnsi="Times New Roman" w:cs="Times New Roman"/>
              </w:rPr>
              <w:t>Król</w:t>
            </w:r>
            <w:r w:rsidR="007B1E52" w:rsidRPr="00442C01">
              <w:rPr>
                <w:rFonts w:ascii="Times New Roman" w:eastAsia="Calibri" w:hAnsi="Times New Roman" w:cs="Times New Roman"/>
              </w:rPr>
              <w:t xml:space="preserve"> – Podsekretarz Stanu w Ministerstwie Zdrowia</w:t>
            </w:r>
          </w:p>
          <w:p w14:paraId="259929E0" w14:textId="77777777" w:rsidR="007B1E52" w:rsidRPr="00442C01" w:rsidRDefault="007B1E52" w:rsidP="00FF07A3">
            <w:pPr>
              <w:spacing w:after="0" w:line="240" w:lineRule="auto"/>
              <w:ind w:hanging="45"/>
              <w:rPr>
                <w:rFonts w:ascii="Times New Roman" w:eastAsia="Calibri" w:hAnsi="Times New Roman" w:cs="Times New Roman"/>
                <w:b/>
                <w:color w:val="000000"/>
              </w:rPr>
            </w:pPr>
            <w:r w:rsidRPr="00442C01">
              <w:rPr>
                <w:rFonts w:ascii="Times New Roman" w:eastAsia="Calibri" w:hAnsi="Times New Roman" w:cs="Times New Roman"/>
                <w:b/>
                <w:color w:val="000000"/>
              </w:rPr>
              <w:t>Kontakt do opiekuna merytorycznego projektu</w:t>
            </w:r>
          </w:p>
          <w:p w14:paraId="7FE82CD8" w14:textId="77777777" w:rsidR="007B1E52" w:rsidRPr="00442C01" w:rsidRDefault="007B1E52" w:rsidP="00FF07A3">
            <w:pPr>
              <w:spacing w:after="0" w:line="240" w:lineRule="auto"/>
              <w:jc w:val="both"/>
              <w:rPr>
                <w:rFonts w:ascii="Times New Roman" w:eastAsia="Calibri" w:hAnsi="Times New Roman" w:cs="Times New Roman"/>
                <w:color w:val="000000"/>
              </w:rPr>
            </w:pPr>
            <w:r w:rsidRPr="00442C01">
              <w:rPr>
                <w:rFonts w:ascii="Times New Roman" w:eastAsia="Calibri" w:hAnsi="Times New Roman" w:cs="Times New Roman"/>
              </w:rPr>
              <w:t xml:space="preserve">Kamila Malinowska, Zastępca Dyrektora Departamentu </w:t>
            </w:r>
            <w:r w:rsidR="00DF7E2C">
              <w:rPr>
                <w:rFonts w:ascii="Times New Roman" w:eastAsia="Calibri" w:hAnsi="Times New Roman" w:cs="Times New Roman"/>
              </w:rPr>
              <w:t xml:space="preserve">Analiz i Strategii </w:t>
            </w:r>
            <w:r w:rsidRPr="00442C01">
              <w:rPr>
                <w:rFonts w:ascii="Times New Roman" w:eastAsia="Calibri" w:hAnsi="Times New Roman" w:cs="Times New Roman"/>
              </w:rPr>
              <w:t xml:space="preserve">w Ministerstwie Zdrowia, </w:t>
            </w:r>
            <w:r w:rsidR="009D756E">
              <w:rPr>
                <w:rFonts w:ascii="Times New Roman" w:eastAsia="Calibri" w:hAnsi="Times New Roman" w:cs="Times New Roman"/>
              </w:rPr>
              <w:t xml:space="preserve">tel. </w:t>
            </w:r>
            <w:r w:rsidRPr="00442C01">
              <w:rPr>
                <w:rFonts w:ascii="Times New Roman" w:eastAsia="Calibri" w:hAnsi="Times New Roman" w:cs="Times New Roman"/>
              </w:rPr>
              <w:t xml:space="preserve">(22) </w:t>
            </w:r>
            <w:r w:rsidR="00DF7E2C">
              <w:rPr>
                <w:rFonts w:ascii="Times New Roman" w:eastAsia="Calibri" w:hAnsi="Times New Roman" w:cs="Times New Roman"/>
              </w:rPr>
              <w:t>860 11 05</w:t>
            </w:r>
            <w:r w:rsidRPr="00442C01">
              <w:rPr>
                <w:rFonts w:ascii="Times New Roman" w:eastAsia="Calibri" w:hAnsi="Times New Roman" w:cs="Times New Roman"/>
              </w:rPr>
              <w:t xml:space="preserve">, e-mail: </w:t>
            </w:r>
            <w:hyperlink r:id="rId5" w:history="1">
              <w:r w:rsidRPr="00442C01">
                <w:rPr>
                  <w:rFonts w:ascii="Times New Roman" w:eastAsia="Calibri" w:hAnsi="Times New Roman" w:cs="Times New Roman"/>
                  <w:color w:val="0000FF"/>
                  <w:u w:val="single"/>
                </w:rPr>
                <w:t>k.malinowska@mz.gov.pl</w:t>
              </w:r>
            </w:hyperlink>
          </w:p>
        </w:tc>
        <w:tc>
          <w:tcPr>
            <w:tcW w:w="4306" w:type="dxa"/>
            <w:gridSpan w:val="12"/>
            <w:shd w:val="clear" w:color="auto" w:fill="FFFFFF"/>
          </w:tcPr>
          <w:p w14:paraId="7EC61872" w14:textId="77777777" w:rsidR="00FF07A3" w:rsidRDefault="007B1E52" w:rsidP="00173D72">
            <w:pPr>
              <w:spacing w:after="0" w:line="240" w:lineRule="auto"/>
              <w:rPr>
                <w:rFonts w:ascii="Times New Roman" w:eastAsia="Calibri" w:hAnsi="Times New Roman" w:cs="Times New Roman"/>
                <w:b/>
              </w:rPr>
            </w:pPr>
            <w:r w:rsidRPr="00442C01">
              <w:rPr>
                <w:rFonts w:ascii="Times New Roman" w:eastAsia="Calibri" w:hAnsi="Times New Roman" w:cs="Times New Roman"/>
                <w:b/>
              </w:rPr>
              <w:t xml:space="preserve">Data sporządzenia: </w:t>
            </w:r>
          </w:p>
          <w:p w14:paraId="090D5CB3" w14:textId="42673A8A" w:rsidR="007B1E52" w:rsidRDefault="00073EF4" w:rsidP="00173D72">
            <w:pPr>
              <w:spacing w:after="0" w:line="240" w:lineRule="auto"/>
              <w:rPr>
                <w:rFonts w:ascii="Times New Roman" w:eastAsia="Calibri" w:hAnsi="Times New Roman" w:cs="Times New Roman"/>
                <w:b/>
              </w:rPr>
            </w:pPr>
            <w:r>
              <w:rPr>
                <w:rFonts w:ascii="Times New Roman" w:eastAsia="Calibri" w:hAnsi="Times New Roman" w:cs="Times New Roman"/>
              </w:rPr>
              <w:t>2</w:t>
            </w:r>
            <w:r w:rsidR="00E959EB" w:rsidRPr="00E959EB">
              <w:rPr>
                <w:rFonts w:ascii="Times New Roman" w:eastAsia="Calibri" w:hAnsi="Times New Roman" w:cs="Times New Roman"/>
              </w:rPr>
              <w:t>8.12.2017 r.</w:t>
            </w:r>
            <w:r w:rsidR="00E959EB">
              <w:rPr>
                <w:rFonts w:ascii="Times New Roman" w:eastAsia="Calibri" w:hAnsi="Times New Roman" w:cs="Times New Roman"/>
                <w:b/>
              </w:rPr>
              <w:t xml:space="preserve"> </w:t>
            </w:r>
          </w:p>
          <w:p w14:paraId="60A9E6D0" w14:textId="77777777" w:rsidR="00E959EB" w:rsidRPr="00442C01" w:rsidRDefault="00E959EB" w:rsidP="00173D72">
            <w:pPr>
              <w:spacing w:after="0" w:line="240" w:lineRule="auto"/>
              <w:rPr>
                <w:rFonts w:ascii="Times New Roman" w:eastAsia="Calibri" w:hAnsi="Times New Roman" w:cs="Times New Roman"/>
                <w:b/>
              </w:rPr>
            </w:pPr>
          </w:p>
          <w:p w14:paraId="7108A4B5" w14:textId="77777777" w:rsidR="007B1E52" w:rsidRPr="00442C01" w:rsidRDefault="007B1E52" w:rsidP="00173D72">
            <w:pPr>
              <w:spacing w:after="0" w:line="240" w:lineRule="auto"/>
              <w:rPr>
                <w:rFonts w:ascii="Times New Roman" w:eastAsia="Calibri" w:hAnsi="Times New Roman" w:cs="Times New Roman"/>
                <w:b/>
              </w:rPr>
            </w:pPr>
            <w:r w:rsidRPr="00442C01">
              <w:rPr>
                <w:rFonts w:ascii="Times New Roman" w:eastAsia="Calibri" w:hAnsi="Times New Roman" w:cs="Times New Roman"/>
                <w:b/>
              </w:rPr>
              <w:t xml:space="preserve">Źródło: </w:t>
            </w:r>
          </w:p>
          <w:p w14:paraId="73A3AA36" w14:textId="76D43F53" w:rsidR="007B1E52" w:rsidRDefault="007B1E52" w:rsidP="00173D72">
            <w:pPr>
              <w:spacing w:after="0" w:line="240" w:lineRule="auto"/>
              <w:jc w:val="both"/>
              <w:rPr>
                <w:rFonts w:ascii="Times New Roman" w:eastAsia="Times New Roman" w:hAnsi="Times New Roman" w:cs="Times New Roman"/>
              </w:rPr>
            </w:pPr>
            <w:r w:rsidRPr="00442C01">
              <w:rPr>
                <w:rFonts w:ascii="Times New Roman" w:eastAsia="Times New Roman" w:hAnsi="Times New Roman" w:cs="Times New Roman"/>
              </w:rPr>
              <w:t xml:space="preserve">Art. 31d ustawy z dnia 27 sierpnia 2004 r. o świadczeniach opieki zdrowotnej finansowanych ze środków publicznych </w:t>
            </w:r>
            <w:r w:rsidRPr="00442C01">
              <w:rPr>
                <w:rFonts w:ascii="Times New Roman" w:eastAsia="Times New Roman" w:hAnsi="Times New Roman" w:cs="Times New Roman"/>
              </w:rPr>
              <w:br/>
              <w:t>(Dz. U. z 201</w:t>
            </w:r>
            <w:r w:rsidR="00C85990">
              <w:rPr>
                <w:rFonts w:ascii="Times New Roman" w:eastAsia="Times New Roman" w:hAnsi="Times New Roman" w:cs="Times New Roman"/>
              </w:rPr>
              <w:t>7</w:t>
            </w:r>
            <w:r w:rsidRPr="00442C01">
              <w:rPr>
                <w:rFonts w:ascii="Times New Roman" w:eastAsia="Times New Roman" w:hAnsi="Times New Roman" w:cs="Times New Roman"/>
              </w:rPr>
              <w:t xml:space="preserve"> r. poz. </w:t>
            </w:r>
            <w:r w:rsidR="00C85990" w:rsidRPr="00442C01">
              <w:rPr>
                <w:rFonts w:ascii="Times New Roman" w:eastAsia="Times New Roman" w:hAnsi="Times New Roman" w:cs="Times New Roman"/>
              </w:rPr>
              <w:t>1</w:t>
            </w:r>
            <w:r w:rsidR="00C85990">
              <w:rPr>
                <w:rFonts w:ascii="Times New Roman" w:eastAsia="Times New Roman" w:hAnsi="Times New Roman" w:cs="Times New Roman"/>
              </w:rPr>
              <w:t>938</w:t>
            </w:r>
            <w:r w:rsidRPr="00442C01">
              <w:rPr>
                <w:rFonts w:ascii="Times New Roman" w:eastAsia="Times New Roman" w:hAnsi="Times New Roman" w:cs="Times New Roman"/>
              </w:rPr>
              <w:t>, z późn. zm.)</w:t>
            </w:r>
          </w:p>
          <w:p w14:paraId="57E845AC" w14:textId="77777777" w:rsidR="00FF07A3" w:rsidRPr="00442C01" w:rsidRDefault="00FF07A3" w:rsidP="00173D72">
            <w:pPr>
              <w:spacing w:after="0" w:line="240" w:lineRule="auto"/>
              <w:jc w:val="both"/>
              <w:rPr>
                <w:rFonts w:ascii="Times New Roman" w:eastAsia="Times New Roman" w:hAnsi="Times New Roman" w:cs="Times New Roman"/>
              </w:rPr>
            </w:pPr>
          </w:p>
          <w:p w14:paraId="68C5E090" w14:textId="77777777" w:rsidR="007B1E52" w:rsidRPr="00442C01" w:rsidRDefault="007B1E52" w:rsidP="00173D72">
            <w:pPr>
              <w:spacing w:after="0" w:line="240" w:lineRule="auto"/>
              <w:rPr>
                <w:rFonts w:ascii="Times New Roman" w:eastAsia="Calibri" w:hAnsi="Times New Roman" w:cs="Times New Roman"/>
                <w:b/>
                <w:color w:val="000000"/>
              </w:rPr>
            </w:pPr>
            <w:r w:rsidRPr="00442C01">
              <w:rPr>
                <w:rFonts w:ascii="Times New Roman" w:eastAsia="Calibri" w:hAnsi="Times New Roman" w:cs="Times New Roman"/>
                <w:b/>
                <w:color w:val="000000"/>
              </w:rPr>
              <w:t xml:space="preserve">Nr w wykazie prac Ministra Zdrowia: </w:t>
            </w:r>
          </w:p>
          <w:p w14:paraId="0A44D366" w14:textId="77777777" w:rsidR="007B1E52" w:rsidRPr="00021728" w:rsidRDefault="00021728" w:rsidP="00173D72">
            <w:pPr>
              <w:spacing w:after="0" w:line="240" w:lineRule="auto"/>
              <w:rPr>
                <w:rFonts w:ascii="Times New Roman" w:eastAsia="Calibri" w:hAnsi="Times New Roman" w:cs="Times New Roman"/>
                <w:color w:val="000000"/>
              </w:rPr>
            </w:pPr>
            <w:r w:rsidRPr="00021728">
              <w:rPr>
                <w:rFonts w:ascii="Times New Roman" w:eastAsia="Calibri" w:hAnsi="Times New Roman" w:cs="Times New Roman"/>
                <w:color w:val="000000"/>
              </w:rPr>
              <w:t>MZ </w:t>
            </w:r>
            <w:r w:rsidR="009C26F2">
              <w:rPr>
                <w:rFonts w:ascii="Times New Roman" w:eastAsia="Calibri" w:hAnsi="Times New Roman" w:cs="Times New Roman"/>
                <w:color w:val="000000"/>
              </w:rPr>
              <w:t>601</w:t>
            </w:r>
          </w:p>
        </w:tc>
      </w:tr>
      <w:tr w:rsidR="007B1E52" w:rsidRPr="00442C01" w14:paraId="6F96A88E" w14:textId="77777777" w:rsidTr="00442C01">
        <w:trPr>
          <w:gridAfter w:val="1"/>
          <w:wAfter w:w="10" w:type="dxa"/>
          <w:trHeight w:val="142"/>
        </w:trPr>
        <w:tc>
          <w:tcPr>
            <w:tcW w:w="10937" w:type="dxa"/>
            <w:gridSpan w:val="28"/>
            <w:shd w:val="clear" w:color="auto" w:fill="99CCFF"/>
          </w:tcPr>
          <w:p w14:paraId="6B6728D7" w14:textId="77777777" w:rsidR="007B1E52" w:rsidRPr="00442C01" w:rsidRDefault="007B1E52" w:rsidP="00173D72">
            <w:pPr>
              <w:spacing w:after="0" w:line="240" w:lineRule="auto"/>
              <w:ind w:left="57"/>
              <w:jc w:val="center"/>
              <w:rPr>
                <w:rFonts w:ascii="Times New Roman" w:eastAsia="Calibri" w:hAnsi="Times New Roman" w:cs="Times New Roman"/>
                <w:b/>
                <w:color w:val="FFFFFF"/>
              </w:rPr>
            </w:pPr>
            <w:r w:rsidRPr="00442C01">
              <w:rPr>
                <w:rFonts w:ascii="Times New Roman" w:eastAsia="Calibri" w:hAnsi="Times New Roman" w:cs="Times New Roman"/>
                <w:b/>
                <w:color w:val="FFFFFF"/>
              </w:rPr>
              <w:t>OCENA SKUTKÓW REGULACJI</w:t>
            </w:r>
          </w:p>
        </w:tc>
      </w:tr>
      <w:tr w:rsidR="007B1E52" w:rsidRPr="00442C01" w14:paraId="37F17E61" w14:textId="77777777" w:rsidTr="00442C01">
        <w:trPr>
          <w:gridAfter w:val="1"/>
          <w:wAfter w:w="10" w:type="dxa"/>
          <w:trHeight w:val="333"/>
        </w:trPr>
        <w:tc>
          <w:tcPr>
            <w:tcW w:w="10937" w:type="dxa"/>
            <w:gridSpan w:val="28"/>
            <w:shd w:val="clear" w:color="auto" w:fill="99CCFF"/>
            <w:vAlign w:val="center"/>
          </w:tcPr>
          <w:p w14:paraId="01CD3185" w14:textId="77777777" w:rsidR="007B1E52" w:rsidRPr="00442C01" w:rsidRDefault="007B1E52" w:rsidP="00173D72">
            <w:pPr>
              <w:numPr>
                <w:ilvl w:val="0"/>
                <w:numId w:val="1"/>
              </w:numPr>
              <w:spacing w:after="0" w:line="240" w:lineRule="auto"/>
              <w:ind w:left="318" w:hanging="284"/>
              <w:jc w:val="both"/>
              <w:rPr>
                <w:rFonts w:ascii="Times New Roman" w:eastAsia="Calibri" w:hAnsi="Times New Roman" w:cs="Times New Roman"/>
                <w:b/>
                <w:color w:val="000000"/>
              </w:rPr>
            </w:pPr>
            <w:r w:rsidRPr="00442C01">
              <w:rPr>
                <w:rFonts w:ascii="Times New Roman" w:eastAsia="Calibri" w:hAnsi="Times New Roman" w:cs="Times New Roman"/>
                <w:b/>
              </w:rPr>
              <w:t>Jaki problem jest rozwiązywany?</w:t>
            </w:r>
            <w:bookmarkStart w:id="2" w:name="Wybór1"/>
            <w:bookmarkEnd w:id="2"/>
          </w:p>
        </w:tc>
      </w:tr>
      <w:tr w:rsidR="007B1E52" w:rsidRPr="00442C01" w14:paraId="3ADB8986" w14:textId="77777777" w:rsidTr="00442C01">
        <w:trPr>
          <w:gridAfter w:val="1"/>
          <w:wAfter w:w="10" w:type="dxa"/>
          <w:trHeight w:val="990"/>
        </w:trPr>
        <w:tc>
          <w:tcPr>
            <w:tcW w:w="10937" w:type="dxa"/>
            <w:gridSpan w:val="28"/>
            <w:shd w:val="clear" w:color="auto" w:fill="FFFFFF"/>
          </w:tcPr>
          <w:p w14:paraId="468A1885" w14:textId="29F6C618" w:rsidR="007B1E52" w:rsidRPr="00442C01" w:rsidRDefault="00021728" w:rsidP="00FF07A3">
            <w:pPr>
              <w:suppressAutoHyphen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Celem projektowanego rozporządzenia zmieniającego rozporządzenie Ministra Zdrowia </w:t>
            </w:r>
            <w:r w:rsidR="00D26B5E">
              <w:rPr>
                <w:rFonts w:ascii="Times New Roman" w:eastAsia="Calibri" w:hAnsi="Times New Roman" w:cs="Times New Roman"/>
              </w:rPr>
              <w:t>z dnia 6 listopada 2013 r. w </w:t>
            </w:r>
            <w:r w:rsidRPr="00021728">
              <w:rPr>
                <w:rFonts w:ascii="Times New Roman" w:eastAsia="Calibri" w:hAnsi="Times New Roman" w:cs="Times New Roman"/>
              </w:rPr>
              <w:t>sprawie świadczeń gwarantowanych z zakresu ambulatoryjnej opieki specjalistycznej (Dz. U. z 2016 r. poz. 357</w:t>
            </w:r>
            <w:r w:rsidR="00C85990">
              <w:rPr>
                <w:rFonts w:ascii="Times New Roman" w:eastAsia="Calibri" w:hAnsi="Times New Roman" w:cs="Times New Roman"/>
              </w:rPr>
              <w:t>, z późn. zm.</w:t>
            </w:r>
            <w:r w:rsidRPr="00021728">
              <w:rPr>
                <w:rFonts w:ascii="Times New Roman" w:eastAsia="Calibri" w:hAnsi="Times New Roman" w:cs="Times New Roman"/>
              </w:rPr>
              <w:t>)</w:t>
            </w:r>
            <w:r>
              <w:rPr>
                <w:rFonts w:ascii="Times New Roman" w:eastAsia="Calibri" w:hAnsi="Times New Roman" w:cs="Times New Roman"/>
              </w:rPr>
              <w:t xml:space="preserve"> jest zwiększenie dostępności do świadczeń gwarantowanych, które dotychczas nie były dostępne dla pacjentów ramach świadczeń opieki zdrowotnej finansowanych ze środków publicznych a mających znaczenie dla poprawy zdrowia</w:t>
            </w:r>
            <w:r w:rsidR="00E8783C">
              <w:rPr>
                <w:rFonts w:ascii="Times New Roman" w:eastAsia="Calibri" w:hAnsi="Times New Roman" w:cs="Times New Roman"/>
              </w:rPr>
              <w:t xml:space="preserve"> i wydłużenia życia</w:t>
            </w:r>
            <w:r>
              <w:rPr>
                <w:rFonts w:ascii="Times New Roman" w:eastAsia="Calibri" w:hAnsi="Times New Roman" w:cs="Times New Roman"/>
              </w:rPr>
              <w:t xml:space="preserve"> pacjentów.</w:t>
            </w:r>
          </w:p>
        </w:tc>
      </w:tr>
      <w:tr w:rsidR="007B1E52" w:rsidRPr="00442C01" w14:paraId="5803689D" w14:textId="77777777" w:rsidTr="00442C01">
        <w:trPr>
          <w:gridAfter w:val="1"/>
          <w:wAfter w:w="10" w:type="dxa"/>
          <w:trHeight w:val="142"/>
        </w:trPr>
        <w:tc>
          <w:tcPr>
            <w:tcW w:w="10937" w:type="dxa"/>
            <w:gridSpan w:val="28"/>
            <w:shd w:val="clear" w:color="auto" w:fill="99CCFF"/>
            <w:vAlign w:val="center"/>
          </w:tcPr>
          <w:p w14:paraId="1337A00A" w14:textId="77777777" w:rsidR="007B1E52" w:rsidRPr="00442C01" w:rsidRDefault="007B1E52" w:rsidP="00173D72">
            <w:pPr>
              <w:numPr>
                <w:ilvl w:val="0"/>
                <w:numId w:val="1"/>
              </w:numPr>
              <w:spacing w:after="0" w:line="240" w:lineRule="auto"/>
              <w:ind w:left="318" w:hanging="284"/>
              <w:jc w:val="both"/>
              <w:rPr>
                <w:rFonts w:ascii="Times New Roman" w:eastAsia="Calibri" w:hAnsi="Times New Roman" w:cs="Times New Roman"/>
                <w:b/>
                <w:color w:val="000000"/>
              </w:rPr>
            </w:pPr>
            <w:r w:rsidRPr="00442C01">
              <w:rPr>
                <w:rFonts w:ascii="Times New Roman" w:eastAsia="Calibri" w:hAnsi="Times New Roman" w:cs="Times New Roman"/>
                <w:b/>
                <w:color w:val="000000"/>
                <w:spacing w:val="-2"/>
              </w:rPr>
              <w:t>Rekomendowane rozwiązanie, w tym planowane narzędzia interwencji, i oczekiwany efekt</w:t>
            </w:r>
          </w:p>
        </w:tc>
      </w:tr>
      <w:tr w:rsidR="007B1E52" w:rsidRPr="00442C01" w14:paraId="455BCFDB" w14:textId="77777777" w:rsidTr="00442C01">
        <w:trPr>
          <w:gridAfter w:val="1"/>
          <w:wAfter w:w="10" w:type="dxa"/>
          <w:trHeight w:val="2495"/>
        </w:trPr>
        <w:tc>
          <w:tcPr>
            <w:tcW w:w="10937" w:type="dxa"/>
            <w:gridSpan w:val="28"/>
            <w:shd w:val="clear" w:color="auto" w:fill="auto"/>
          </w:tcPr>
          <w:p w14:paraId="15D125BB" w14:textId="3CE32C09" w:rsidR="00FC2B2C" w:rsidRDefault="00021728" w:rsidP="00173D72">
            <w:pPr>
              <w:suppressAutoHyphen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bCs/>
                <w:lang w:eastAsia="pl-PL"/>
              </w:rPr>
              <w:t xml:space="preserve">Wprowadzenie do rozporządzenia Ministra Zdrowia z dnia </w:t>
            </w:r>
            <w:r w:rsidRPr="00021728">
              <w:rPr>
                <w:rFonts w:ascii="Times New Roman" w:eastAsia="Calibri" w:hAnsi="Times New Roman" w:cs="Times New Roman"/>
              </w:rPr>
              <w:t>6 listopada 2013 r. w spr</w:t>
            </w:r>
            <w:r w:rsidR="002B76BE">
              <w:rPr>
                <w:rFonts w:ascii="Times New Roman" w:eastAsia="Calibri" w:hAnsi="Times New Roman" w:cs="Times New Roman"/>
              </w:rPr>
              <w:t>awie świadczeń gwarantowanych z </w:t>
            </w:r>
            <w:r w:rsidRPr="00021728">
              <w:rPr>
                <w:rFonts w:ascii="Times New Roman" w:eastAsia="Calibri" w:hAnsi="Times New Roman" w:cs="Times New Roman"/>
              </w:rPr>
              <w:t xml:space="preserve">zakresu ambulatoryjnej opieki specjalistycznej </w:t>
            </w:r>
            <w:r>
              <w:rPr>
                <w:rFonts w:ascii="Times New Roman" w:eastAsia="Calibri" w:hAnsi="Times New Roman" w:cs="Times New Roman"/>
              </w:rPr>
              <w:t xml:space="preserve">przepisów dotyczących nowych świadczeń gwarantowanych zostało oparte na procesie kwalifikacji świadczeń opieki zdrowotnej jako świadczeń gwarantowanych </w:t>
            </w:r>
            <w:r w:rsidR="00367105">
              <w:rPr>
                <w:rFonts w:ascii="Times New Roman" w:eastAsia="Calibri" w:hAnsi="Times New Roman" w:cs="Times New Roman"/>
              </w:rPr>
              <w:t>i implementuj</w:t>
            </w:r>
            <w:r>
              <w:rPr>
                <w:rFonts w:ascii="Times New Roman" w:eastAsia="Calibri" w:hAnsi="Times New Roman" w:cs="Times New Roman"/>
              </w:rPr>
              <w:t>e</w:t>
            </w:r>
            <w:r w:rsidR="00367105">
              <w:rPr>
                <w:rFonts w:ascii="Times New Roman" w:eastAsia="Calibri" w:hAnsi="Times New Roman" w:cs="Times New Roman"/>
              </w:rPr>
              <w:t xml:space="preserve"> </w:t>
            </w:r>
            <w:r>
              <w:rPr>
                <w:rFonts w:ascii="Times New Roman" w:eastAsia="Calibri" w:hAnsi="Times New Roman" w:cs="Times New Roman"/>
              </w:rPr>
              <w:t xml:space="preserve">propozycje rozwiązań </w:t>
            </w:r>
            <w:r w:rsidR="00367105">
              <w:rPr>
                <w:rFonts w:ascii="Times New Roman" w:eastAsia="Calibri" w:hAnsi="Times New Roman" w:cs="Times New Roman"/>
              </w:rPr>
              <w:t>zawartych w rekomendacjach Prezesa Agencji Oceny Technologii Medycznych i Taryfikacji</w:t>
            </w:r>
            <w:r w:rsidR="002B76BE">
              <w:rPr>
                <w:rFonts w:ascii="Times New Roman" w:eastAsia="Calibri" w:hAnsi="Times New Roman" w:cs="Times New Roman"/>
              </w:rPr>
              <w:t>.</w:t>
            </w:r>
          </w:p>
          <w:p w14:paraId="13A1307B" w14:textId="77777777" w:rsidR="00367105" w:rsidRDefault="00367105" w:rsidP="00173D72">
            <w:pPr>
              <w:suppressAutoHyphen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Zmiany mają na celu:</w:t>
            </w:r>
          </w:p>
          <w:p w14:paraId="29CDA558" w14:textId="77777777" w:rsidR="009C26F2" w:rsidRDefault="009C26F2" w:rsidP="00173D72">
            <w:pPr>
              <w:suppressAutoHyphen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poprawę diagnostyki zaburzeń układu pozapiramidowego</w:t>
            </w:r>
            <w:r w:rsidR="005D0B4B">
              <w:rPr>
                <w:rFonts w:ascii="Times New Roman" w:eastAsia="Calibri" w:hAnsi="Times New Roman" w:cs="Times New Roman"/>
              </w:rPr>
              <w:t>,</w:t>
            </w:r>
          </w:p>
          <w:p w14:paraId="514CDF75" w14:textId="77777777" w:rsidR="009C26F2" w:rsidRDefault="009C26F2" w:rsidP="00173D72">
            <w:pPr>
              <w:suppressAutoHyphen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 poprawę diagnostyki i dostosowanie leczenia cukrzycy </w:t>
            </w:r>
            <w:proofErr w:type="spellStart"/>
            <w:r>
              <w:rPr>
                <w:rFonts w:ascii="Times New Roman" w:eastAsia="Calibri" w:hAnsi="Times New Roman" w:cs="Times New Roman"/>
              </w:rPr>
              <w:t>monogenowej</w:t>
            </w:r>
            <w:proofErr w:type="spellEnd"/>
            <w:r>
              <w:rPr>
                <w:rFonts w:ascii="Times New Roman" w:eastAsia="Calibri" w:hAnsi="Times New Roman" w:cs="Times New Roman"/>
              </w:rPr>
              <w:t xml:space="preserve"> w populacji pacjentów do </w:t>
            </w:r>
            <w:r w:rsidR="00116C03">
              <w:rPr>
                <w:rFonts w:ascii="Times New Roman" w:eastAsia="Calibri" w:hAnsi="Times New Roman" w:cs="Times New Roman"/>
              </w:rPr>
              <w:t>ukończenia</w:t>
            </w:r>
            <w:r>
              <w:rPr>
                <w:rFonts w:ascii="Times New Roman" w:eastAsia="Calibri" w:hAnsi="Times New Roman" w:cs="Times New Roman"/>
              </w:rPr>
              <w:t xml:space="preserve"> 1</w:t>
            </w:r>
            <w:r w:rsidR="00C85990">
              <w:rPr>
                <w:rFonts w:ascii="Times New Roman" w:eastAsia="Calibri" w:hAnsi="Times New Roman" w:cs="Times New Roman"/>
              </w:rPr>
              <w:t>.</w:t>
            </w:r>
            <w:r>
              <w:rPr>
                <w:rFonts w:ascii="Times New Roman" w:eastAsia="Calibri" w:hAnsi="Times New Roman" w:cs="Times New Roman"/>
              </w:rPr>
              <w:t xml:space="preserve"> roku życia</w:t>
            </w:r>
            <w:r w:rsidR="00116C03">
              <w:rPr>
                <w:rFonts w:ascii="Times New Roman" w:eastAsia="Calibri" w:hAnsi="Times New Roman" w:cs="Times New Roman"/>
              </w:rPr>
              <w:t>,</w:t>
            </w:r>
          </w:p>
          <w:p w14:paraId="0D257814" w14:textId="77777777" w:rsidR="009C26F2" w:rsidRDefault="009C26F2" w:rsidP="00173D72">
            <w:pPr>
              <w:suppressAutoHyphen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poprawę monitorowania glikemii u osób z cukrzycą</w:t>
            </w:r>
            <w:r w:rsidR="00116C03">
              <w:rPr>
                <w:rFonts w:ascii="Times New Roman" w:eastAsia="Calibri" w:hAnsi="Times New Roman" w:cs="Times New Roman"/>
              </w:rPr>
              <w:t>,</w:t>
            </w:r>
          </w:p>
          <w:p w14:paraId="717C524E" w14:textId="77777777" w:rsidR="009C26F2" w:rsidRDefault="009C26F2" w:rsidP="00173D72">
            <w:pPr>
              <w:suppressAutoHyphen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 zwiększenie dostępu do nowych metod terapeutycznych w leczeniu osób chorych na </w:t>
            </w:r>
            <w:r w:rsidR="00116C03">
              <w:rPr>
                <w:rFonts w:ascii="Times New Roman" w:eastAsia="Calibri" w:hAnsi="Times New Roman" w:cs="Times New Roman"/>
              </w:rPr>
              <w:t>nieoperacyjne</w:t>
            </w:r>
            <w:r>
              <w:rPr>
                <w:rFonts w:ascii="Times New Roman" w:eastAsia="Calibri" w:hAnsi="Times New Roman" w:cs="Times New Roman"/>
              </w:rPr>
              <w:t xml:space="preserve"> guzy neuroendokrynne</w:t>
            </w:r>
            <w:r w:rsidR="00116C03">
              <w:rPr>
                <w:rFonts w:ascii="Times New Roman" w:eastAsia="Calibri" w:hAnsi="Times New Roman" w:cs="Times New Roman"/>
              </w:rPr>
              <w:t>,</w:t>
            </w:r>
          </w:p>
          <w:p w14:paraId="496E7FA2" w14:textId="77777777" w:rsidR="00A37EBF" w:rsidRDefault="009C26F2" w:rsidP="00173D72">
            <w:pPr>
              <w:suppressAutoHyphen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zwiększenie dostępu do nowych metod terapeutycznych w leczeniu osób chorych z niewydolnością nerek</w:t>
            </w:r>
            <w:r w:rsidR="00A37EBF">
              <w:rPr>
                <w:rFonts w:ascii="Times New Roman" w:eastAsia="Calibri" w:hAnsi="Times New Roman" w:cs="Times New Roman"/>
              </w:rPr>
              <w:t>,</w:t>
            </w:r>
          </w:p>
          <w:p w14:paraId="2F234916" w14:textId="77777777" w:rsidR="009C26F2" w:rsidRDefault="00A37EBF" w:rsidP="00173D72">
            <w:pPr>
              <w:suppressAutoHyphen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ujednolicenie wymagań dla świadczeń radioterapii względem wymagań określonych dotychczas w świadczeniach gwarantowanych w zakresie leczenia szpitalnego</w:t>
            </w:r>
            <w:r w:rsidR="00116C03">
              <w:rPr>
                <w:rFonts w:ascii="Times New Roman" w:eastAsia="Calibri" w:hAnsi="Times New Roman" w:cs="Times New Roman"/>
              </w:rPr>
              <w:t>.</w:t>
            </w:r>
          </w:p>
          <w:p w14:paraId="77B7A5A8" w14:textId="1C20A75B" w:rsidR="00116C03" w:rsidRPr="00116C03" w:rsidRDefault="00116C03" w:rsidP="00173D72">
            <w:pPr>
              <w:suppressAutoHyphens/>
              <w:autoSpaceDE w:val="0"/>
              <w:autoSpaceDN w:val="0"/>
              <w:adjustRightInd w:val="0"/>
              <w:spacing w:after="0" w:line="240" w:lineRule="auto"/>
              <w:jc w:val="both"/>
              <w:rPr>
                <w:rFonts w:ascii="Times New Roman" w:eastAsia="Calibri" w:hAnsi="Times New Roman" w:cs="Times New Roman"/>
                <w:bCs/>
                <w:lang w:eastAsia="pl-PL"/>
              </w:rPr>
            </w:pPr>
            <w:r w:rsidRPr="00116C03">
              <w:rPr>
                <w:rFonts w:ascii="Times New Roman" w:eastAsia="Calibri" w:hAnsi="Times New Roman" w:cs="Times New Roman"/>
                <w:bCs/>
                <w:lang w:eastAsia="pl-PL"/>
              </w:rPr>
              <w:t xml:space="preserve">Implementacja świadczenia „Diagnostyka cukrzycy </w:t>
            </w:r>
            <w:proofErr w:type="spellStart"/>
            <w:r w:rsidRPr="00116C03">
              <w:rPr>
                <w:rFonts w:ascii="Times New Roman" w:eastAsia="Calibri" w:hAnsi="Times New Roman" w:cs="Times New Roman"/>
                <w:bCs/>
                <w:lang w:eastAsia="pl-PL"/>
              </w:rPr>
              <w:t>monogenowej</w:t>
            </w:r>
            <w:proofErr w:type="spellEnd"/>
            <w:r w:rsidRPr="00116C03">
              <w:rPr>
                <w:rFonts w:ascii="Times New Roman" w:eastAsia="Calibri" w:hAnsi="Times New Roman" w:cs="Times New Roman"/>
                <w:bCs/>
                <w:lang w:eastAsia="pl-PL"/>
              </w:rPr>
              <w:t>” do wykazu jest zasa</w:t>
            </w:r>
            <w:r w:rsidR="009D44EC">
              <w:rPr>
                <w:rFonts w:ascii="Times New Roman" w:eastAsia="Calibri" w:hAnsi="Times New Roman" w:cs="Times New Roman"/>
                <w:bCs/>
                <w:lang w:eastAsia="pl-PL"/>
              </w:rPr>
              <w:t>dna zarówno z klinicznego jak i </w:t>
            </w:r>
            <w:r w:rsidRPr="00116C03">
              <w:rPr>
                <w:rFonts w:ascii="Times New Roman" w:eastAsia="Calibri" w:hAnsi="Times New Roman" w:cs="Times New Roman"/>
                <w:bCs/>
                <w:lang w:eastAsia="pl-PL"/>
              </w:rPr>
              <w:t>ekonomicznego punktu widzenia. Dowody naukowe</w:t>
            </w:r>
            <w:r w:rsidR="00FF07A3">
              <w:rPr>
                <w:rFonts w:ascii="Times New Roman" w:eastAsia="Calibri" w:hAnsi="Times New Roman" w:cs="Times New Roman"/>
                <w:bCs/>
                <w:lang w:eastAsia="pl-PL"/>
              </w:rPr>
              <w:t>,</w:t>
            </w:r>
            <w:r w:rsidRPr="00116C03">
              <w:rPr>
                <w:rFonts w:ascii="Times New Roman" w:eastAsia="Calibri" w:hAnsi="Times New Roman" w:cs="Times New Roman"/>
                <w:bCs/>
                <w:lang w:eastAsia="pl-PL"/>
              </w:rPr>
              <w:t xml:space="preserve"> na których oparł się Prezes </w:t>
            </w:r>
            <w:proofErr w:type="spellStart"/>
            <w:r w:rsidRPr="00116C03">
              <w:rPr>
                <w:rFonts w:ascii="Times New Roman" w:eastAsia="Calibri" w:hAnsi="Times New Roman" w:cs="Times New Roman"/>
                <w:bCs/>
                <w:lang w:eastAsia="pl-PL"/>
              </w:rPr>
              <w:t>A</w:t>
            </w:r>
            <w:r w:rsidR="009D44EC">
              <w:rPr>
                <w:rFonts w:ascii="Times New Roman" w:eastAsia="Calibri" w:hAnsi="Times New Roman" w:cs="Times New Roman"/>
                <w:bCs/>
                <w:lang w:eastAsia="pl-PL"/>
              </w:rPr>
              <w:t>OTMiT</w:t>
            </w:r>
            <w:proofErr w:type="spellEnd"/>
            <w:r w:rsidR="009D44EC">
              <w:rPr>
                <w:rFonts w:ascii="Times New Roman" w:eastAsia="Calibri" w:hAnsi="Times New Roman" w:cs="Times New Roman"/>
                <w:bCs/>
                <w:lang w:eastAsia="pl-PL"/>
              </w:rPr>
              <w:t xml:space="preserve"> dla populacji z mutacją w </w:t>
            </w:r>
            <w:r w:rsidRPr="00116C03">
              <w:rPr>
                <w:rFonts w:ascii="Times New Roman" w:eastAsia="Calibri" w:hAnsi="Times New Roman" w:cs="Times New Roman"/>
                <w:bCs/>
                <w:lang w:eastAsia="pl-PL"/>
              </w:rPr>
              <w:t xml:space="preserve">genach ABCC8 oraz KCNJ11 wskazują na uzyskanie efektu terapeutycznego po wykryciu mutacji i zmianie dotychczasowego leczenia. W chwili obecnej w ramach świadczeń finansowanych ze środków publicznych brak jest alternatywnego świadczenia w zakresie diagnostyki cukrzycy </w:t>
            </w:r>
            <w:proofErr w:type="spellStart"/>
            <w:r w:rsidRPr="00116C03">
              <w:rPr>
                <w:rFonts w:ascii="Times New Roman" w:eastAsia="Calibri" w:hAnsi="Times New Roman" w:cs="Times New Roman"/>
                <w:bCs/>
                <w:lang w:eastAsia="pl-PL"/>
              </w:rPr>
              <w:t>monogenowej</w:t>
            </w:r>
            <w:proofErr w:type="spellEnd"/>
            <w:r w:rsidRPr="00116C03">
              <w:rPr>
                <w:rFonts w:ascii="Times New Roman" w:eastAsia="Calibri" w:hAnsi="Times New Roman" w:cs="Times New Roman"/>
                <w:bCs/>
                <w:lang w:eastAsia="pl-PL"/>
              </w:rPr>
              <w:t xml:space="preserve">, podczas gdy zgodnie z danymi epidemiologicznymi pacjentów wymagających diagnostyki genetycznej oraz zmiany leczenia w Polsce może obejmować populację około 5 000 osób. Świadczenie: "Diagnostyka cukrzycy </w:t>
            </w:r>
            <w:proofErr w:type="spellStart"/>
            <w:r w:rsidRPr="00116C03">
              <w:rPr>
                <w:rFonts w:ascii="Times New Roman" w:eastAsia="Calibri" w:hAnsi="Times New Roman" w:cs="Times New Roman"/>
                <w:bCs/>
                <w:lang w:eastAsia="pl-PL"/>
              </w:rPr>
              <w:t>monogenowej</w:t>
            </w:r>
            <w:proofErr w:type="spellEnd"/>
            <w:r w:rsidRPr="00116C03">
              <w:rPr>
                <w:rFonts w:ascii="Times New Roman" w:eastAsia="Calibri" w:hAnsi="Times New Roman" w:cs="Times New Roman"/>
                <w:bCs/>
                <w:lang w:eastAsia="pl-PL"/>
              </w:rPr>
              <w:t>", re</w:t>
            </w:r>
            <w:r w:rsidR="009D44EC">
              <w:rPr>
                <w:rFonts w:ascii="Times New Roman" w:eastAsia="Calibri" w:hAnsi="Times New Roman" w:cs="Times New Roman"/>
                <w:bCs/>
                <w:lang w:eastAsia="pl-PL"/>
              </w:rPr>
              <w:t>alizuje zatem skonkretyzowaną i </w:t>
            </w:r>
            <w:r w:rsidRPr="00116C03">
              <w:rPr>
                <w:rFonts w:ascii="Times New Roman" w:eastAsia="Calibri" w:hAnsi="Times New Roman" w:cs="Times New Roman"/>
                <w:bCs/>
                <w:lang w:eastAsia="pl-PL"/>
              </w:rPr>
              <w:t xml:space="preserve">niezaspokojoną dotychczas potrzebę zdrowotną, dotyczącą populacji dzieci, które ze względu na brak diagnostyki nie zawsze są dziś leczone zgodnie z chorobą. Wprowadzenie powyższego świadczenia zdeterminuje zastosowanie celowanej, efektywnej i tańszej interwencji medycznej, względem insulinoterapii. </w:t>
            </w:r>
          </w:p>
          <w:p w14:paraId="5B5B27F9" w14:textId="77777777" w:rsidR="00116C03" w:rsidRPr="00116C03" w:rsidRDefault="00116C03" w:rsidP="00173D72">
            <w:pPr>
              <w:suppressAutoHyphens/>
              <w:autoSpaceDE w:val="0"/>
              <w:autoSpaceDN w:val="0"/>
              <w:adjustRightInd w:val="0"/>
              <w:spacing w:after="0" w:line="240" w:lineRule="auto"/>
              <w:jc w:val="both"/>
              <w:rPr>
                <w:rFonts w:ascii="Times New Roman" w:eastAsia="Calibri" w:hAnsi="Times New Roman" w:cs="Times New Roman"/>
                <w:bCs/>
                <w:lang w:eastAsia="pl-PL"/>
              </w:rPr>
            </w:pPr>
            <w:r w:rsidRPr="00116C03">
              <w:rPr>
                <w:rFonts w:ascii="Times New Roman" w:eastAsia="Calibri" w:hAnsi="Times New Roman" w:cs="Times New Roman"/>
                <w:bCs/>
                <w:lang w:eastAsia="pl-PL"/>
              </w:rPr>
              <w:t xml:space="preserve">Implementacja świadczenia „Diagnostyka zaburzeń czynności układu pozapiramidowego w przebiegu schorzeń zwyrodnieniowych ośrodkowego układu nerwowego za pomocą </w:t>
            </w:r>
            <w:proofErr w:type="spellStart"/>
            <w:r w:rsidRPr="00116C03">
              <w:rPr>
                <w:rFonts w:ascii="Times New Roman" w:eastAsia="Calibri" w:hAnsi="Times New Roman" w:cs="Times New Roman"/>
                <w:bCs/>
                <w:lang w:eastAsia="pl-PL"/>
              </w:rPr>
              <w:t>radiofarmaceutyków</w:t>
            </w:r>
            <w:proofErr w:type="spellEnd"/>
            <w:r w:rsidRPr="00116C03">
              <w:rPr>
                <w:rFonts w:ascii="Times New Roman" w:eastAsia="Calibri" w:hAnsi="Times New Roman" w:cs="Times New Roman"/>
                <w:bCs/>
                <w:lang w:eastAsia="pl-PL"/>
              </w:rPr>
              <w:t xml:space="preserve">” do wykazu jest zasadna przede wszystkim z klinicznego punktu widzenia. Minister Zdrowia, przychylając się do opinii Prezesa Agencji uważa za zasadne finansowanie badania czynności układu dopaminergicznego mózgowia za pomocą </w:t>
            </w:r>
            <w:r w:rsidR="009D44EC">
              <w:rPr>
                <w:rFonts w:ascii="Times New Roman" w:eastAsia="Calibri" w:hAnsi="Times New Roman" w:cs="Times New Roman"/>
                <w:bCs/>
                <w:lang w:eastAsia="pl-PL"/>
              </w:rPr>
              <w:t>123I-FP-CIT (</w:t>
            </w:r>
            <w:proofErr w:type="spellStart"/>
            <w:r w:rsidR="009D44EC">
              <w:rPr>
                <w:rFonts w:ascii="Times New Roman" w:eastAsia="Calibri" w:hAnsi="Times New Roman" w:cs="Times New Roman"/>
                <w:bCs/>
                <w:lang w:eastAsia="pl-PL"/>
              </w:rPr>
              <w:t>DaTSCAN</w:t>
            </w:r>
            <w:proofErr w:type="spellEnd"/>
            <w:r w:rsidR="009D44EC">
              <w:rPr>
                <w:rFonts w:ascii="Times New Roman" w:eastAsia="Calibri" w:hAnsi="Times New Roman" w:cs="Times New Roman"/>
                <w:bCs/>
                <w:lang w:eastAsia="pl-PL"/>
              </w:rPr>
              <w:t>®) SPECT, u </w:t>
            </w:r>
            <w:r w:rsidRPr="00116C03">
              <w:rPr>
                <w:rFonts w:ascii="Times New Roman" w:eastAsia="Calibri" w:hAnsi="Times New Roman" w:cs="Times New Roman"/>
                <w:bCs/>
                <w:lang w:eastAsia="pl-PL"/>
              </w:rPr>
              <w:t>chorych z niejednoznacznym obrazem klinicznym choroby Parkinsona.</w:t>
            </w:r>
            <w:r w:rsidR="00176BFA">
              <w:rPr>
                <w:rFonts w:ascii="Times New Roman" w:eastAsia="Calibri" w:hAnsi="Times New Roman" w:cs="Times New Roman"/>
                <w:bCs/>
                <w:lang w:eastAsia="pl-PL"/>
              </w:rPr>
              <w:t xml:space="preserve"> </w:t>
            </w:r>
            <w:r w:rsidRPr="00116C03">
              <w:rPr>
                <w:rFonts w:ascii="Times New Roman" w:eastAsia="Calibri" w:hAnsi="Times New Roman" w:cs="Times New Roman"/>
                <w:bCs/>
                <w:lang w:eastAsia="pl-PL"/>
              </w:rPr>
              <w:t>Diagnostyka różnicowa parkinsonizmów zwyrodnieniowych u pacjentów z klinicznie niejednoznacznym obrazem wykazała, iż przedmiotowa technologia jest wysoce przydatna w ocenie klinicznej prawdopodobieństwa istnienia parkinsonizmu zwyrodnieniowego wśród pacjentów z niejednoznacznym obrazem klinicznym choroby Parkinsona w badaniu podmiotowym i przedmiotowym. Zagraniczne towarzystwa naukowe oraz eksperci kliniczni rekomendują stosowanie badania 123I-FP-CIT (</w:t>
            </w:r>
            <w:proofErr w:type="spellStart"/>
            <w:r w:rsidRPr="00116C03">
              <w:rPr>
                <w:rFonts w:ascii="Times New Roman" w:eastAsia="Calibri" w:hAnsi="Times New Roman" w:cs="Times New Roman"/>
                <w:bCs/>
                <w:lang w:eastAsia="pl-PL"/>
              </w:rPr>
              <w:t>DaTSCAN</w:t>
            </w:r>
            <w:proofErr w:type="spellEnd"/>
            <w:r w:rsidRPr="00116C03">
              <w:rPr>
                <w:rFonts w:ascii="Times New Roman" w:eastAsia="Calibri" w:hAnsi="Times New Roman" w:cs="Times New Roman"/>
                <w:bCs/>
                <w:lang w:eastAsia="pl-PL"/>
              </w:rPr>
              <w:t>®) SPECT u chorych z niejednoznacznym obrazem klinicznym choroby Parkinsona. Zdaniem ekspertów badanie 123I-FP-CIT (</w:t>
            </w:r>
            <w:proofErr w:type="spellStart"/>
            <w:r w:rsidRPr="00116C03">
              <w:rPr>
                <w:rFonts w:ascii="Times New Roman" w:eastAsia="Calibri" w:hAnsi="Times New Roman" w:cs="Times New Roman"/>
                <w:bCs/>
                <w:lang w:eastAsia="pl-PL"/>
              </w:rPr>
              <w:t>DaTSCAN</w:t>
            </w:r>
            <w:proofErr w:type="spellEnd"/>
            <w:r w:rsidRPr="00116C03">
              <w:rPr>
                <w:rFonts w:ascii="Times New Roman" w:eastAsia="Calibri" w:hAnsi="Times New Roman" w:cs="Times New Roman"/>
                <w:bCs/>
                <w:lang w:eastAsia="pl-PL"/>
              </w:rPr>
              <w:t xml:space="preserve">®) SPECT będzie stanowić rozszerzenie możliwości diagnostycznych w szczególnie trudnych przypadkach i będzie wykonywane wówczas, gdy podstawowe testy diagnostyczne nie pozwolą na postawienie jednoznacznej diagnozy. </w:t>
            </w:r>
          </w:p>
          <w:p w14:paraId="531964BB" w14:textId="77777777" w:rsidR="00116C03" w:rsidRPr="00116C03" w:rsidRDefault="00116C03" w:rsidP="00173D72">
            <w:pPr>
              <w:suppressAutoHyphens/>
              <w:autoSpaceDE w:val="0"/>
              <w:autoSpaceDN w:val="0"/>
              <w:adjustRightInd w:val="0"/>
              <w:spacing w:after="0" w:line="240" w:lineRule="auto"/>
              <w:jc w:val="both"/>
              <w:rPr>
                <w:rFonts w:ascii="Times New Roman" w:eastAsia="Calibri" w:hAnsi="Times New Roman" w:cs="Times New Roman"/>
                <w:bCs/>
                <w:lang w:eastAsia="pl-PL"/>
              </w:rPr>
            </w:pPr>
            <w:r w:rsidRPr="00116C03">
              <w:rPr>
                <w:rFonts w:ascii="Times New Roman" w:eastAsia="Calibri" w:hAnsi="Times New Roman" w:cs="Times New Roman"/>
                <w:bCs/>
                <w:lang w:eastAsia="pl-PL"/>
              </w:rPr>
              <w:t>Implementacja świadczenia „</w:t>
            </w:r>
            <w:proofErr w:type="spellStart"/>
            <w:r w:rsidRPr="00116C03">
              <w:rPr>
                <w:rFonts w:ascii="Times New Roman" w:eastAsia="Calibri" w:hAnsi="Times New Roman" w:cs="Times New Roman"/>
                <w:bCs/>
                <w:lang w:eastAsia="pl-PL"/>
              </w:rPr>
              <w:t>Hemodiafiltracja</w:t>
            </w:r>
            <w:proofErr w:type="spellEnd"/>
            <w:r w:rsidRPr="00116C03">
              <w:rPr>
                <w:rFonts w:ascii="Times New Roman" w:eastAsia="Calibri" w:hAnsi="Times New Roman" w:cs="Times New Roman"/>
                <w:bCs/>
                <w:lang w:eastAsia="pl-PL"/>
              </w:rPr>
              <w:t xml:space="preserve">” do wykazu jest zasadna przede wszystkim z klinicznego punktu widzenia. Zgromadzone przez Prezesa Agencji dane wskazują na zmniejszenie śmiertelności, poprawę parametrów adekwatności </w:t>
            </w:r>
            <w:r w:rsidRPr="00116C03">
              <w:rPr>
                <w:rFonts w:ascii="Times New Roman" w:eastAsia="Calibri" w:hAnsi="Times New Roman" w:cs="Times New Roman"/>
                <w:bCs/>
                <w:lang w:eastAsia="pl-PL"/>
              </w:rPr>
              <w:lastRenderedPageBreak/>
              <w:t>dializoterapii, poprawę jakości życia pacjentów, zmniejszenie ilości zdarzeń niepożądany</w:t>
            </w:r>
            <w:r w:rsidR="009D44EC">
              <w:rPr>
                <w:rFonts w:ascii="Times New Roman" w:eastAsia="Calibri" w:hAnsi="Times New Roman" w:cs="Times New Roman"/>
                <w:bCs/>
                <w:lang w:eastAsia="pl-PL"/>
              </w:rPr>
              <w:t>ch w postaci powikłań ostrych i </w:t>
            </w:r>
            <w:r w:rsidRPr="00116C03">
              <w:rPr>
                <w:rFonts w:ascii="Times New Roman" w:eastAsia="Calibri" w:hAnsi="Times New Roman" w:cs="Times New Roman"/>
                <w:bCs/>
                <w:lang w:eastAsia="pl-PL"/>
              </w:rPr>
              <w:t xml:space="preserve">przewlekłych w trakcie stosowania </w:t>
            </w:r>
            <w:proofErr w:type="spellStart"/>
            <w:r w:rsidRPr="00116C03">
              <w:rPr>
                <w:rFonts w:ascii="Times New Roman" w:eastAsia="Calibri" w:hAnsi="Times New Roman" w:cs="Times New Roman"/>
                <w:bCs/>
                <w:lang w:eastAsia="pl-PL"/>
              </w:rPr>
              <w:t>hemodiafiltracji</w:t>
            </w:r>
            <w:proofErr w:type="spellEnd"/>
            <w:r w:rsidRPr="00116C03">
              <w:rPr>
                <w:rFonts w:ascii="Times New Roman" w:eastAsia="Calibri" w:hAnsi="Times New Roman" w:cs="Times New Roman"/>
                <w:bCs/>
                <w:lang w:eastAsia="pl-PL"/>
              </w:rPr>
              <w:t xml:space="preserve"> (HDF). Jednocześnie opinie ekspertów i praktyka kliniczna w wielu krajach, pozwalają na wnioskowanie, że finansowanie HDF ze środków publicznych przy</w:t>
            </w:r>
            <w:r w:rsidR="009D44EC">
              <w:rPr>
                <w:rFonts w:ascii="Times New Roman" w:eastAsia="Calibri" w:hAnsi="Times New Roman" w:cs="Times New Roman"/>
                <w:bCs/>
                <w:lang w:eastAsia="pl-PL"/>
              </w:rPr>
              <w:t>czyni się do poprawy opieki nad </w:t>
            </w:r>
            <w:r w:rsidRPr="00116C03">
              <w:rPr>
                <w:rFonts w:ascii="Times New Roman" w:eastAsia="Calibri" w:hAnsi="Times New Roman" w:cs="Times New Roman"/>
                <w:bCs/>
                <w:lang w:eastAsia="pl-PL"/>
              </w:rPr>
              <w:t>pacjentami z przewlekłą niewydolnością nerek.</w:t>
            </w:r>
            <w:r w:rsidR="00176BFA">
              <w:rPr>
                <w:rFonts w:ascii="Times New Roman" w:eastAsia="Calibri" w:hAnsi="Times New Roman" w:cs="Times New Roman"/>
                <w:bCs/>
                <w:lang w:eastAsia="pl-PL"/>
              </w:rPr>
              <w:t xml:space="preserve"> </w:t>
            </w:r>
            <w:r w:rsidRPr="00116C03">
              <w:rPr>
                <w:rFonts w:ascii="Times New Roman" w:eastAsia="Calibri" w:hAnsi="Times New Roman" w:cs="Times New Roman"/>
                <w:bCs/>
                <w:lang w:eastAsia="pl-PL"/>
              </w:rPr>
              <w:t xml:space="preserve">Umożliwienie dostępności do </w:t>
            </w:r>
            <w:proofErr w:type="spellStart"/>
            <w:r w:rsidRPr="00116C03">
              <w:rPr>
                <w:rFonts w:ascii="Times New Roman" w:eastAsia="Calibri" w:hAnsi="Times New Roman" w:cs="Times New Roman"/>
                <w:bCs/>
                <w:lang w:eastAsia="pl-PL"/>
              </w:rPr>
              <w:t>hemod</w:t>
            </w:r>
            <w:r w:rsidR="009D44EC">
              <w:rPr>
                <w:rFonts w:ascii="Times New Roman" w:eastAsia="Calibri" w:hAnsi="Times New Roman" w:cs="Times New Roman"/>
                <w:bCs/>
                <w:lang w:eastAsia="pl-PL"/>
              </w:rPr>
              <w:t>iafiltracji</w:t>
            </w:r>
            <w:proofErr w:type="spellEnd"/>
            <w:r w:rsidR="009D44EC">
              <w:rPr>
                <w:rFonts w:ascii="Times New Roman" w:eastAsia="Calibri" w:hAnsi="Times New Roman" w:cs="Times New Roman"/>
                <w:bCs/>
                <w:lang w:eastAsia="pl-PL"/>
              </w:rPr>
              <w:t xml:space="preserve"> jest odpowiedzią na </w:t>
            </w:r>
            <w:r w:rsidRPr="00116C03">
              <w:rPr>
                <w:rFonts w:ascii="Times New Roman" w:eastAsia="Calibri" w:hAnsi="Times New Roman" w:cs="Times New Roman"/>
                <w:bCs/>
                <w:lang w:eastAsia="pl-PL"/>
              </w:rPr>
              <w:t>konkretną potrzebę zdrowotną, dotyczącą dużej populacji pacjentów. Wprowadzenie powyższego</w:t>
            </w:r>
            <w:r w:rsidR="009D44EC">
              <w:rPr>
                <w:rFonts w:ascii="Times New Roman" w:eastAsia="Calibri" w:hAnsi="Times New Roman" w:cs="Times New Roman"/>
                <w:bCs/>
                <w:lang w:eastAsia="pl-PL"/>
              </w:rPr>
              <w:t xml:space="preserve"> świadczenia do </w:t>
            </w:r>
            <w:r w:rsidRPr="00116C03">
              <w:rPr>
                <w:rFonts w:ascii="Times New Roman" w:eastAsia="Calibri" w:hAnsi="Times New Roman" w:cs="Times New Roman"/>
                <w:bCs/>
                <w:lang w:eastAsia="pl-PL"/>
              </w:rPr>
              <w:t>wykazu umożliwi zastosowanie celowanej, i przez to efektywnej, interwencji medycznej. Liczba pacjentów hemodializowanych przyrasta o ok. 600 osób rocznie. Z danych otrzymanych od publicznego płatnika świadczeń wynika, że świadczenie hemodializy w 2012 r. rozliczono u prawie 30,5 tys. pacjentów z przewlekłą chorobą nerek (</w:t>
            </w:r>
            <w:proofErr w:type="spellStart"/>
            <w:r w:rsidRPr="00116C03">
              <w:rPr>
                <w:rFonts w:ascii="Times New Roman" w:eastAsia="Calibri" w:hAnsi="Times New Roman" w:cs="Times New Roman"/>
                <w:bCs/>
                <w:lang w:eastAsia="pl-PL"/>
              </w:rPr>
              <w:t>PChN</w:t>
            </w:r>
            <w:proofErr w:type="spellEnd"/>
            <w:r w:rsidRPr="00116C03">
              <w:rPr>
                <w:rFonts w:ascii="Times New Roman" w:eastAsia="Calibri" w:hAnsi="Times New Roman" w:cs="Times New Roman"/>
                <w:bCs/>
                <w:lang w:eastAsia="pl-PL"/>
              </w:rPr>
              <w:t xml:space="preserve">), w tym 10,6 tys. z rozpoznaniem N18 przewlekła niewydolność nerek i 14,5 tys. z rozpoznaniem N18.0 schyłkowa niewydolność nerek. </w:t>
            </w:r>
          </w:p>
          <w:p w14:paraId="103A3BA5" w14:textId="77777777" w:rsidR="00116C03" w:rsidRPr="00116C03" w:rsidRDefault="00116C03" w:rsidP="00173D72">
            <w:pPr>
              <w:suppressAutoHyphens/>
              <w:autoSpaceDE w:val="0"/>
              <w:autoSpaceDN w:val="0"/>
              <w:adjustRightInd w:val="0"/>
              <w:spacing w:after="0" w:line="240" w:lineRule="auto"/>
              <w:jc w:val="both"/>
              <w:rPr>
                <w:rFonts w:ascii="Times New Roman" w:eastAsia="Calibri" w:hAnsi="Times New Roman" w:cs="Times New Roman"/>
                <w:bCs/>
                <w:lang w:eastAsia="pl-PL"/>
              </w:rPr>
            </w:pPr>
            <w:r w:rsidRPr="00116C03">
              <w:rPr>
                <w:rFonts w:ascii="Times New Roman" w:eastAsia="Calibri" w:hAnsi="Times New Roman" w:cs="Times New Roman"/>
                <w:bCs/>
                <w:lang w:eastAsia="pl-PL"/>
              </w:rPr>
              <w:t>Implementacja świadczenia „Ciągłe monitorowanie glikemii” do wykazu jest zasadna przede wszystkim z klinicznego punktu widzenia. Umożliwienie dostępności do świadczeń zdrowotnych będzie miało przede wszystkim wpływ na redukcję epizodów hipoglikemii, które w ciężkich przypadkach, bezpośrednio zagrażają życiu chorego. Powyższa redukcja epizodów hipoglikemii, pod względem liczby lub czasu ich trwania, może przekładać się na zmianę w jakości życia pacjentów, u których występują epizody hipoglikemii. Świadczenie gwarantowane „System ciągłego monito</w:t>
            </w:r>
            <w:r w:rsidR="009D44EC">
              <w:rPr>
                <w:rFonts w:ascii="Times New Roman" w:eastAsia="Calibri" w:hAnsi="Times New Roman" w:cs="Times New Roman"/>
                <w:bCs/>
                <w:lang w:eastAsia="pl-PL"/>
              </w:rPr>
              <w:t xml:space="preserve">rowania </w:t>
            </w:r>
            <w:r w:rsidRPr="00116C03">
              <w:rPr>
                <w:rFonts w:ascii="Times New Roman" w:eastAsia="Calibri" w:hAnsi="Times New Roman" w:cs="Times New Roman"/>
                <w:bCs/>
                <w:lang w:eastAsia="pl-PL"/>
              </w:rPr>
              <w:t>glikemii w czasie rzeczywistym (CGM-RT)” ma mieć zastosowanie w szczególnie sparam</w:t>
            </w:r>
            <w:r w:rsidR="009D44EC">
              <w:rPr>
                <w:rFonts w:ascii="Times New Roman" w:eastAsia="Calibri" w:hAnsi="Times New Roman" w:cs="Times New Roman"/>
                <w:bCs/>
                <w:lang w:eastAsia="pl-PL"/>
              </w:rPr>
              <w:t>etryzowanej populacji: dzieci i </w:t>
            </w:r>
            <w:r w:rsidRPr="00116C03">
              <w:rPr>
                <w:rFonts w:ascii="Times New Roman" w:eastAsia="Calibri" w:hAnsi="Times New Roman" w:cs="Times New Roman"/>
                <w:bCs/>
                <w:lang w:eastAsia="pl-PL"/>
              </w:rPr>
              <w:t>młodzieży z cukrzycą typu 1 do 26 roku życia, u których utrzymują się podwyższone wartości HbA1c &gt;6,5% i &lt;9,0%. pomimo intensyfikacji leczenia u pacjenta dobrze wyedukowanego w zakresie zasad intensywnej czynnościowej insulinoterapii, współpracującego z zespołem diabetologicznym oraz przestrzegającego zasad samokontroli. Przewiduje się bezpłatne dostarczenie nadajnika, 10% wysokość udziału własnego świadczeniobiorcy w limicie finansowania transmitera 30% wysokość takiego udziału w limicie finansowania sensorów.</w:t>
            </w:r>
          </w:p>
          <w:p w14:paraId="250ED706" w14:textId="77777777" w:rsidR="00116C03" w:rsidRPr="00442C01" w:rsidRDefault="00116C03" w:rsidP="00173D72">
            <w:pPr>
              <w:suppressAutoHyphens/>
              <w:autoSpaceDE w:val="0"/>
              <w:autoSpaceDN w:val="0"/>
              <w:adjustRightInd w:val="0"/>
              <w:spacing w:after="0" w:line="240" w:lineRule="auto"/>
              <w:jc w:val="both"/>
              <w:rPr>
                <w:rFonts w:ascii="Times New Roman" w:eastAsia="Calibri" w:hAnsi="Times New Roman" w:cs="Times New Roman"/>
                <w:bCs/>
                <w:lang w:eastAsia="pl-PL"/>
              </w:rPr>
            </w:pPr>
            <w:r w:rsidRPr="00116C03">
              <w:rPr>
                <w:rFonts w:ascii="Times New Roman" w:eastAsia="Calibri" w:hAnsi="Times New Roman" w:cs="Times New Roman"/>
                <w:bCs/>
                <w:lang w:eastAsia="pl-PL"/>
              </w:rPr>
              <w:t>Implementacja świadczenia „Zastosowanie znakowanych radioizotopowo peptydów w leczeniu chorych na nieoperacyjne guzy neuroendokrynne” do wykazu jest zasadna przede wszystkim z klinicznego punk</w:t>
            </w:r>
            <w:r w:rsidR="009D44EC">
              <w:rPr>
                <w:rFonts w:ascii="Times New Roman" w:eastAsia="Calibri" w:hAnsi="Times New Roman" w:cs="Times New Roman"/>
                <w:bCs/>
                <w:lang w:eastAsia="pl-PL"/>
              </w:rPr>
              <w:t>tu widzenia. Dowody naukowe, na </w:t>
            </w:r>
            <w:r w:rsidRPr="00116C03">
              <w:rPr>
                <w:rFonts w:ascii="Times New Roman" w:eastAsia="Calibri" w:hAnsi="Times New Roman" w:cs="Times New Roman"/>
                <w:bCs/>
                <w:lang w:eastAsia="pl-PL"/>
              </w:rPr>
              <w:t>których oparł się Prezes Agencji bazują na analizach skuteczności klinicznej stosowania procedury. Świadczenie jest dedykowane dla ściśle sprecyzowanej populacji pacjentów z guzami neuroendokrynnymi żołądkowo-jelitowo-trzustkowymi (ang. gastro-</w:t>
            </w:r>
            <w:proofErr w:type="spellStart"/>
            <w:r w:rsidRPr="00116C03">
              <w:rPr>
                <w:rFonts w:ascii="Times New Roman" w:eastAsia="Calibri" w:hAnsi="Times New Roman" w:cs="Times New Roman"/>
                <w:bCs/>
                <w:lang w:eastAsia="pl-PL"/>
              </w:rPr>
              <w:t>enteropancreatic</w:t>
            </w:r>
            <w:proofErr w:type="spellEnd"/>
            <w:r w:rsidRPr="00116C03">
              <w:rPr>
                <w:rFonts w:ascii="Times New Roman" w:eastAsia="Calibri" w:hAnsi="Times New Roman" w:cs="Times New Roman"/>
                <w:bCs/>
                <w:lang w:eastAsia="pl-PL"/>
              </w:rPr>
              <w:t xml:space="preserve"> </w:t>
            </w:r>
            <w:proofErr w:type="spellStart"/>
            <w:r w:rsidRPr="00116C03">
              <w:rPr>
                <w:rFonts w:ascii="Times New Roman" w:eastAsia="Calibri" w:hAnsi="Times New Roman" w:cs="Times New Roman"/>
                <w:bCs/>
                <w:lang w:eastAsia="pl-PL"/>
              </w:rPr>
              <w:t>neuroendocrine</w:t>
            </w:r>
            <w:proofErr w:type="spellEnd"/>
            <w:r w:rsidRPr="00116C03">
              <w:rPr>
                <w:rFonts w:ascii="Times New Roman" w:eastAsia="Calibri" w:hAnsi="Times New Roman" w:cs="Times New Roman"/>
                <w:bCs/>
                <w:lang w:eastAsia="pl-PL"/>
              </w:rPr>
              <w:t xml:space="preserve"> </w:t>
            </w:r>
            <w:proofErr w:type="spellStart"/>
            <w:r w:rsidRPr="00116C03">
              <w:rPr>
                <w:rFonts w:ascii="Times New Roman" w:eastAsia="Calibri" w:hAnsi="Times New Roman" w:cs="Times New Roman"/>
                <w:bCs/>
                <w:lang w:eastAsia="pl-PL"/>
              </w:rPr>
              <w:t>tumors</w:t>
            </w:r>
            <w:proofErr w:type="spellEnd"/>
            <w:r w:rsidRPr="00116C03">
              <w:rPr>
                <w:rFonts w:ascii="Times New Roman" w:eastAsia="Calibri" w:hAnsi="Times New Roman" w:cs="Times New Roman"/>
                <w:bCs/>
                <w:lang w:eastAsia="pl-PL"/>
              </w:rPr>
              <w:t>, GEP NET). Ce</w:t>
            </w:r>
            <w:r w:rsidR="009D44EC">
              <w:rPr>
                <w:rFonts w:ascii="Times New Roman" w:eastAsia="Calibri" w:hAnsi="Times New Roman" w:cs="Times New Roman"/>
                <w:bCs/>
                <w:lang w:eastAsia="pl-PL"/>
              </w:rPr>
              <w:t>lem wprowadzenia świadczenia do </w:t>
            </w:r>
            <w:r w:rsidRPr="00116C03">
              <w:rPr>
                <w:rFonts w:ascii="Times New Roman" w:eastAsia="Calibri" w:hAnsi="Times New Roman" w:cs="Times New Roman"/>
                <w:bCs/>
                <w:lang w:eastAsia="pl-PL"/>
              </w:rPr>
              <w:t xml:space="preserve">wykazu, jest zrealizowanie niezaspokojonej potrzeby zdrowotnej wprowadzenia interwencji medycznej dla pacjentów, u których zdiagnozowano guzy neuroendokrynne, NET (ang. </w:t>
            </w:r>
            <w:proofErr w:type="spellStart"/>
            <w:r w:rsidRPr="00116C03">
              <w:rPr>
                <w:rFonts w:ascii="Times New Roman" w:eastAsia="Calibri" w:hAnsi="Times New Roman" w:cs="Times New Roman"/>
                <w:bCs/>
                <w:lang w:eastAsia="pl-PL"/>
              </w:rPr>
              <w:t>neuroendocrine</w:t>
            </w:r>
            <w:proofErr w:type="spellEnd"/>
            <w:r w:rsidRPr="00116C03">
              <w:rPr>
                <w:rFonts w:ascii="Times New Roman" w:eastAsia="Calibri" w:hAnsi="Times New Roman" w:cs="Times New Roman"/>
                <w:bCs/>
                <w:lang w:eastAsia="pl-PL"/>
              </w:rPr>
              <w:t xml:space="preserve"> </w:t>
            </w:r>
            <w:proofErr w:type="spellStart"/>
            <w:r w:rsidRPr="00116C03">
              <w:rPr>
                <w:rFonts w:ascii="Times New Roman" w:eastAsia="Calibri" w:hAnsi="Times New Roman" w:cs="Times New Roman"/>
                <w:bCs/>
                <w:lang w:eastAsia="pl-PL"/>
              </w:rPr>
              <w:t>tumors</w:t>
            </w:r>
            <w:proofErr w:type="spellEnd"/>
            <w:r w:rsidRPr="00116C03">
              <w:rPr>
                <w:rFonts w:ascii="Times New Roman" w:eastAsia="Calibri" w:hAnsi="Times New Roman" w:cs="Times New Roman"/>
                <w:bCs/>
                <w:lang w:eastAsia="pl-PL"/>
              </w:rPr>
              <w:t xml:space="preserve">), które są rzadkimi, wolno rosnącymi nowotworami, wywodzącymi się z gruczołów wewnętrznego wydzielania z grup komórek </w:t>
            </w:r>
            <w:proofErr w:type="spellStart"/>
            <w:r w:rsidRPr="00116C03">
              <w:rPr>
                <w:rFonts w:ascii="Times New Roman" w:eastAsia="Calibri" w:hAnsi="Times New Roman" w:cs="Times New Roman"/>
                <w:bCs/>
                <w:lang w:eastAsia="pl-PL"/>
              </w:rPr>
              <w:t>endokrynnych</w:t>
            </w:r>
            <w:proofErr w:type="spellEnd"/>
            <w:r w:rsidRPr="00116C03">
              <w:rPr>
                <w:rFonts w:ascii="Times New Roman" w:eastAsia="Calibri" w:hAnsi="Times New Roman" w:cs="Times New Roman"/>
                <w:bCs/>
                <w:lang w:eastAsia="pl-PL"/>
              </w:rPr>
              <w:t xml:space="preserve"> obecnych wewnątrz tkanek gruczołowych oraz z komórek z rozproszonego układu </w:t>
            </w:r>
            <w:proofErr w:type="spellStart"/>
            <w:r w:rsidRPr="00116C03">
              <w:rPr>
                <w:rFonts w:ascii="Times New Roman" w:eastAsia="Calibri" w:hAnsi="Times New Roman" w:cs="Times New Roman"/>
                <w:bCs/>
                <w:lang w:eastAsia="pl-PL"/>
              </w:rPr>
              <w:t>endokrynnego</w:t>
            </w:r>
            <w:proofErr w:type="spellEnd"/>
            <w:r w:rsidRPr="00116C03">
              <w:rPr>
                <w:rFonts w:ascii="Times New Roman" w:eastAsia="Calibri" w:hAnsi="Times New Roman" w:cs="Times New Roman"/>
                <w:bCs/>
                <w:lang w:eastAsia="pl-PL"/>
              </w:rPr>
              <w:t xml:space="preserve">. Według polskich wytycznych leczenia guzów NET, zapadalność na te nowotwory wynosi obecnie 3 przypadki na 100 tys. osób rocznie i wykazuje tendencję wzrostową. Ujawnienie tej tendencji można tłumaczyć coraz lepszymi i bardziej dostępnymi metodami diagnostycznymi. Dodatkowym argumentem przemawiającym za kwalifikacją przedmiotowego świadczenia do wykazu świadczeń gwarantowanych jest zgodność z rekomendacjami Polskiej Sieci Guzów Neuroendokrynnych (PSGN), zgodnie z którymi wskazaniem do leczenia znakowanymi radioizotopowo analogami </w:t>
            </w:r>
            <w:proofErr w:type="spellStart"/>
            <w:r w:rsidRPr="00116C03">
              <w:rPr>
                <w:rFonts w:ascii="Times New Roman" w:eastAsia="Calibri" w:hAnsi="Times New Roman" w:cs="Times New Roman"/>
                <w:bCs/>
                <w:lang w:eastAsia="pl-PL"/>
              </w:rPr>
              <w:t>somatostatyny</w:t>
            </w:r>
            <w:proofErr w:type="spellEnd"/>
            <w:r w:rsidRPr="00116C03">
              <w:rPr>
                <w:rFonts w:ascii="Times New Roman" w:eastAsia="Calibri" w:hAnsi="Times New Roman" w:cs="Times New Roman"/>
                <w:bCs/>
                <w:lang w:eastAsia="pl-PL"/>
              </w:rPr>
              <w:t xml:space="preserve"> powinna być wysoka ekspresja receptora dla SST potwierdzona w badaniu scyntygraficznym (III klasa gromadzenia, bądź klasa IV w przypadku zmian zlokalizowanych w wątrobie).</w:t>
            </w:r>
          </w:p>
        </w:tc>
      </w:tr>
      <w:tr w:rsidR="007B1E52" w:rsidRPr="00442C01" w14:paraId="6E659317" w14:textId="77777777" w:rsidTr="00442C01">
        <w:trPr>
          <w:gridAfter w:val="1"/>
          <w:wAfter w:w="10" w:type="dxa"/>
          <w:trHeight w:val="307"/>
        </w:trPr>
        <w:tc>
          <w:tcPr>
            <w:tcW w:w="10937" w:type="dxa"/>
            <w:gridSpan w:val="28"/>
            <w:shd w:val="clear" w:color="auto" w:fill="99CCFF"/>
            <w:vAlign w:val="center"/>
          </w:tcPr>
          <w:p w14:paraId="6E41D3C1" w14:textId="77777777" w:rsidR="007B1E52" w:rsidRPr="00442C01" w:rsidRDefault="007B1E52" w:rsidP="00173D72">
            <w:pPr>
              <w:numPr>
                <w:ilvl w:val="0"/>
                <w:numId w:val="1"/>
              </w:numPr>
              <w:spacing w:after="0" w:line="240" w:lineRule="auto"/>
              <w:ind w:left="318" w:hanging="284"/>
              <w:jc w:val="both"/>
              <w:rPr>
                <w:rFonts w:ascii="Times New Roman" w:eastAsia="Calibri" w:hAnsi="Times New Roman" w:cs="Times New Roman"/>
                <w:b/>
                <w:color w:val="000000"/>
              </w:rPr>
            </w:pPr>
            <w:r w:rsidRPr="00442C01">
              <w:rPr>
                <w:rFonts w:ascii="Times New Roman" w:eastAsia="Calibri" w:hAnsi="Times New Roman" w:cs="Times New Roman"/>
                <w:b/>
                <w:spacing w:val="-2"/>
              </w:rPr>
              <w:lastRenderedPageBreak/>
              <w:t>Jak problem został rozwiązany w innych krajach, w szczególności krajach członkowskich OECD/UE</w:t>
            </w:r>
            <w:r w:rsidRPr="00442C01">
              <w:rPr>
                <w:rFonts w:ascii="Times New Roman" w:eastAsia="Calibri" w:hAnsi="Times New Roman" w:cs="Times New Roman"/>
                <w:b/>
                <w:color w:val="000000"/>
              </w:rPr>
              <w:t>?</w:t>
            </w:r>
            <w:r w:rsidRPr="00442C01">
              <w:rPr>
                <w:rFonts w:ascii="Times New Roman" w:eastAsia="Calibri" w:hAnsi="Times New Roman" w:cs="Times New Roman"/>
                <w:i/>
                <w:color w:val="000000"/>
              </w:rPr>
              <w:t xml:space="preserve"> </w:t>
            </w:r>
          </w:p>
        </w:tc>
      </w:tr>
      <w:tr w:rsidR="007B1E52" w:rsidRPr="00442C01" w14:paraId="25E7D210" w14:textId="77777777" w:rsidTr="00442C01">
        <w:trPr>
          <w:gridAfter w:val="1"/>
          <w:wAfter w:w="10" w:type="dxa"/>
          <w:trHeight w:val="142"/>
        </w:trPr>
        <w:tc>
          <w:tcPr>
            <w:tcW w:w="10937" w:type="dxa"/>
            <w:gridSpan w:val="28"/>
            <w:shd w:val="clear" w:color="auto" w:fill="auto"/>
          </w:tcPr>
          <w:p w14:paraId="49C8BC7C" w14:textId="77777777" w:rsidR="002477A9" w:rsidRDefault="002477A9" w:rsidP="00173D72">
            <w:pPr>
              <w:tabs>
                <w:tab w:val="left" w:pos="851"/>
              </w:tabs>
              <w:spacing w:after="0" w:line="240" w:lineRule="auto"/>
              <w:jc w:val="both"/>
              <w:rPr>
                <w:rFonts w:ascii="Times New Roman" w:eastAsia="Calibri" w:hAnsi="Times New Roman" w:cs="Times New Roman"/>
              </w:rPr>
            </w:pPr>
            <w:r>
              <w:rPr>
                <w:rFonts w:ascii="Times New Roman" w:eastAsia="Calibri" w:hAnsi="Times New Roman" w:cs="Times New Roman"/>
              </w:rPr>
              <w:t xml:space="preserve">Ciągłe monitorowanie glikemii. </w:t>
            </w:r>
            <w:r w:rsidRPr="0099230C">
              <w:rPr>
                <w:rFonts w:ascii="Times New Roman" w:eastAsia="Calibri" w:hAnsi="Times New Roman" w:cs="Times New Roman"/>
              </w:rPr>
              <w:t>W żadnym kraju CGM</w:t>
            </w:r>
            <w:r>
              <w:rPr>
                <w:rFonts w:ascii="Times New Roman" w:eastAsia="Calibri" w:hAnsi="Times New Roman" w:cs="Times New Roman"/>
              </w:rPr>
              <w:t xml:space="preserve"> </w:t>
            </w:r>
            <w:r w:rsidRPr="0099230C">
              <w:rPr>
                <w:rFonts w:ascii="Times New Roman" w:eastAsia="Calibri" w:hAnsi="Times New Roman" w:cs="Times New Roman"/>
              </w:rPr>
              <w:t>nie jest finansowany ze środków publicznych bez żadnych ograniczeń, jednak w 6 krajach</w:t>
            </w:r>
            <w:r>
              <w:rPr>
                <w:rFonts w:ascii="Times New Roman" w:eastAsia="Calibri" w:hAnsi="Times New Roman" w:cs="Times New Roman"/>
              </w:rPr>
              <w:t xml:space="preserve"> </w:t>
            </w:r>
            <w:r w:rsidRPr="0099230C">
              <w:rPr>
                <w:rFonts w:ascii="Times New Roman" w:eastAsia="Calibri" w:hAnsi="Times New Roman" w:cs="Times New Roman"/>
              </w:rPr>
              <w:t>CGM jest finansowany ze środków publicznych w określonych wskazaniach (Izrael, Holandia, Słowenia,</w:t>
            </w:r>
            <w:r>
              <w:rPr>
                <w:rFonts w:ascii="Times New Roman" w:eastAsia="Calibri" w:hAnsi="Times New Roman" w:cs="Times New Roman"/>
              </w:rPr>
              <w:t xml:space="preserve"> </w:t>
            </w:r>
            <w:r w:rsidRPr="0099230C">
              <w:rPr>
                <w:rFonts w:ascii="Times New Roman" w:eastAsia="Calibri" w:hAnsi="Times New Roman" w:cs="Times New Roman"/>
              </w:rPr>
              <w:t>Szwecja, Szwajcaria i Wielka Brytania), natomiast w pozostały</w:t>
            </w:r>
            <w:r w:rsidR="009919DC">
              <w:rPr>
                <w:rFonts w:ascii="Times New Roman" w:eastAsia="Calibri" w:hAnsi="Times New Roman" w:cs="Times New Roman"/>
              </w:rPr>
              <w:t>ch 3 krajach (Francja, Niemcy i </w:t>
            </w:r>
            <w:r w:rsidRPr="0099230C">
              <w:rPr>
                <w:rFonts w:ascii="Times New Roman" w:eastAsia="Calibri" w:hAnsi="Times New Roman" w:cs="Times New Roman"/>
              </w:rPr>
              <w:t>Hiszpania)</w:t>
            </w:r>
            <w:r>
              <w:rPr>
                <w:rFonts w:ascii="Times New Roman" w:eastAsia="Calibri" w:hAnsi="Times New Roman" w:cs="Times New Roman"/>
              </w:rPr>
              <w:t xml:space="preserve"> </w:t>
            </w:r>
            <w:r w:rsidRPr="0099230C">
              <w:rPr>
                <w:rFonts w:ascii="Times New Roman" w:eastAsia="Calibri" w:hAnsi="Times New Roman" w:cs="Times New Roman"/>
              </w:rPr>
              <w:t>system CGM jest refundowany z większymi ograniczeniami czasowymi bądź ze znacznymi</w:t>
            </w:r>
            <w:r>
              <w:rPr>
                <w:rFonts w:ascii="Times New Roman" w:eastAsia="Calibri" w:hAnsi="Times New Roman" w:cs="Times New Roman"/>
              </w:rPr>
              <w:t xml:space="preserve"> </w:t>
            </w:r>
            <w:r w:rsidRPr="0099230C">
              <w:rPr>
                <w:rFonts w:ascii="Times New Roman" w:eastAsia="Calibri" w:hAnsi="Times New Roman" w:cs="Times New Roman"/>
              </w:rPr>
              <w:t>ograniczeniami populacji. We Francji czasowo refundowana jest pompa zintegrowana z systemem</w:t>
            </w:r>
            <w:r>
              <w:rPr>
                <w:rFonts w:ascii="Times New Roman" w:eastAsia="Calibri" w:hAnsi="Times New Roman" w:cs="Times New Roman"/>
              </w:rPr>
              <w:t xml:space="preserve"> CGM</w:t>
            </w:r>
            <w:r w:rsidR="001A3B1B">
              <w:rPr>
                <w:rFonts w:ascii="Times New Roman" w:eastAsia="Calibri" w:hAnsi="Times New Roman" w:cs="Times New Roman"/>
              </w:rPr>
              <w:t>, natomiast w Hiszpanii i </w:t>
            </w:r>
            <w:r w:rsidR="009919DC">
              <w:rPr>
                <w:rFonts w:ascii="Times New Roman" w:eastAsia="Calibri" w:hAnsi="Times New Roman" w:cs="Times New Roman"/>
              </w:rPr>
              <w:t>w </w:t>
            </w:r>
            <w:r w:rsidRPr="0099230C">
              <w:rPr>
                <w:rFonts w:ascii="Times New Roman" w:eastAsia="Calibri" w:hAnsi="Times New Roman" w:cs="Times New Roman"/>
              </w:rPr>
              <w:t>Niemczech system CGM może być finansowany tylko w</w:t>
            </w:r>
            <w:r>
              <w:rPr>
                <w:rFonts w:ascii="Times New Roman" w:eastAsia="Calibri" w:hAnsi="Times New Roman" w:cs="Times New Roman"/>
              </w:rPr>
              <w:t xml:space="preserve"> </w:t>
            </w:r>
            <w:r w:rsidRPr="0099230C">
              <w:rPr>
                <w:rFonts w:ascii="Times New Roman" w:eastAsia="Calibri" w:hAnsi="Times New Roman" w:cs="Times New Roman"/>
              </w:rPr>
              <w:t>ściśle określonych, wyjątkowych sytuacjach, gdy zostanie udowodniona jego potrzeba.</w:t>
            </w:r>
          </w:p>
          <w:p w14:paraId="34F3C6E0" w14:textId="77777777" w:rsidR="002477A9" w:rsidRDefault="002477A9" w:rsidP="00173D72">
            <w:pPr>
              <w:tabs>
                <w:tab w:val="left" w:pos="851"/>
              </w:tabs>
              <w:spacing w:after="0" w:line="240" w:lineRule="auto"/>
              <w:jc w:val="both"/>
              <w:rPr>
                <w:rFonts w:ascii="Times New Roman" w:eastAsia="Calibri" w:hAnsi="Times New Roman" w:cs="Times New Roman"/>
              </w:rPr>
            </w:pPr>
            <w:r>
              <w:rPr>
                <w:rFonts w:ascii="Times New Roman" w:eastAsia="Calibri" w:hAnsi="Times New Roman" w:cs="Times New Roman"/>
              </w:rPr>
              <w:t xml:space="preserve">Diagnostyka cukrzycy </w:t>
            </w:r>
            <w:proofErr w:type="spellStart"/>
            <w:r>
              <w:rPr>
                <w:rFonts w:ascii="Times New Roman" w:eastAsia="Calibri" w:hAnsi="Times New Roman" w:cs="Times New Roman"/>
              </w:rPr>
              <w:t>monogenowej</w:t>
            </w:r>
            <w:proofErr w:type="spellEnd"/>
            <w:r>
              <w:rPr>
                <w:rFonts w:ascii="Times New Roman" w:eastAsia="Calibri" w:hAnsi="Times New Roman" w:cs="Times New Roman"/>
              </w:rPr>
              <w:t xml:space="preserve">. Według informacji odnalezionych na strokach UK </w:t>
            </w:r>
            <w:proofErr w:type="spellStart"/>
            <w:r>
              <w:rPr>
                <w:rFonts w:ascii="Times New Roman" w:eastAsia="Calibri" w:hAnsi="Times New Roman" w:cs="Times New Roman"/>
              </w:rPr>
              <w:t>Genetic</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Testing</w:t>
            </w:r>
            <w:proofErr w:type="spellEnd"/>
            <w:r>
              <w:rPr>
                <w:rFonts w:ascii="Times New Roman" w:eastAsia="Calibri" w:hAnsi="Times New Roman" w:cs="Times New Roman"/>
              </w:rPr>
              <w:t xml:space="preserve"> Network geny, których defekty odpowiedzialne są za rozwój cukrzycy </w:t>
            </w:r>
            <w:proofErr w:type="spellStart"/>
            <w:r>
              <w:rPr>
                <w:rFonts w:ascii="Times New Roman" w:eastAsia="Calibri" w:hAnsi="Times New Roman" w:cs="Times New Roman"/>
              </w:rPr>
              <w:t>monogenowej</w:t>
            </w:r>
            <w:proofErr w:type="spellEnd"/>
            <w:r>
              <w:rPr>
                <w:rFonts w:ascii="Times New Roman" w:eastAsia="Calibri" w:hAnsi="Times New Roman" w:cs="Times New Roman"/>
              </w:rPr>
              <w:t xml:space="preserve"> został uwzględniony na liście badań molekularnych finansowanych ze środków publicznych </w:t>
            </w:r>
            <w:proofErr w:type="spellStart"/>
            <w:r>
              <w:rPr>
                <w:rFonts w:ascii="Times New Roman" w:eastAsia="Calibri" w:hAnsi="Times New Roman" w:cs="Times New Roman"/>
              </w:rPr>
              <w:t>National</w:t>
            </w:r>
            <w:proofErr w:type="spellEnd"/>
            <w:r>
              <w:rPr>
                <w:rFonts w:ascii="Times New Roman" w:eastAsia="Calibri" w:hAnsi="Times New Roman" w:cs="Times New Roman"/>
              </w:rPr>
              <w:t xml:space="preserve"> Health Services w Wielkiej Brytanii. Ponadto, badania są rekomendowane w wytycznych NICE 2015.</w:t>
            </w:r>
          </w:p>
          <w:p w14:paraId="07215373" w14:textId="77777777" w:rsidR="002477A9" w:rsidRDefault="002477A9" w:rsidP="00173D72">
            <w:pPr>
              <w:tabs>
                <w:tab w:val="left" w:pos="851"/>
              </w:tabs>
              <w:spacing w:after="0" w:line="240" w:lineRule="auto"/>
              <w:jc w:val="both"/>
              <w:rPr>
                <w:rFonts w:ascii="Times New Roman" w:eastAsia="Calibri" w:hAnsi="Times New Roman" w:cs="Times New Roman"/>
              </w:rPr>
            </w:pPr>
            <w:r>
              <w:rPr>
                <w:rFonts w:ascii="Times New Roman" w:eastAsia="Calibri" w:hAnsi="Times New Roman" w:cs="Times New Roman"/>
              </w:rPr>
              <w:t xml:space="preserve">Diagnostyka zaburzeń czynności układu </w:t>
            </w:r>
            <w:r w:rsidRPr="00176BFA">
              <w:rPr>
                <w:rFonts w:ascii="Times New Roman" w:eastAsia="Calibri" w:hAnsi="Times New Roman" w:cs="Times New Roman"/>
              </w:rPr>
              <w:t>pozapiramidowego w</w:t>
            </w:r>
            <w:r>
              <w:rPr>
                <w:rFonts w:ascii="Times New Roman" w:eastAsia="Calibri" w:hAnsi="Times New Roman" w:cs="Times New Roman"/>
              </w:rPr>
              <w:t xml:space="preserve"> </w:t>
            </w:r>
            <w:r w:rsidRPr="00176BFA">
              <w:rPr>
                <w:rFonts w:ascii="Times New Roman" w:eastAsia="Calibri" w:hAnsi="Times New Roman" w:cs="Times New Roman"/>
              </w:rPr>
              <w:t xml:space="preserve">przebiegu schorzeń zwyrodnieniowych ośrodkowego układu nerwowego za pomocą </w:t>
            </w:r>
            <w:proofErr w:type="spellStart"/>
            <w:r w:rsidRPr="00176BFA">
              <w:rPr>
                <w:rFonts w:ascii="Times New Roman" w:eastAsia="Calibri" w:hAnsi="Times New Roman" w:cs="Times New Roman"/>
              </w:rPr>
              <w:t>radiofa</w:t>
            </w:r>
            <w:r>
              <w:rPr>
                <w:rFonts w:ascii="Times New Roman" w:eastAsia="Calibri" w:hAnsi="Times New Roman" w:cs="Times New Roman"/>
              </w:rPr>
              <w:t>rmaceutyków</w:t>
            </w:r>
            <w:proofErr w:type="spellEnd"/>
            <w:r>
              <w:rPr>
                <w:rFonts w:ascii="Times New Roman" w:eastAsia="Calibri" w:hAnsi="Times New Roman" w:cs="Times New Roman"/>
              </w:rPr>
              <w:t xml:space="preserve">. Odnaleziono jedną rekomendację w sprawie refundacji przedmiotowej metody. </w:t>
            </w:r>
            <w:r w:rsidRPr="00176BFA">
              <w:rPr>
                <w:rFonts w:ascii="Times New Roman" w:eastAsia="Calibri" w:hAnsi="Times New Roman" w:cs="Times New Roman"/>
              </w:rPr>
              <w:t>Zgodnie z</w:t>
            </w:r>
            <w:r>
              <w:rPr>
                <w:rFonts w:ascii="Times New Roman" w:eastAsia="Calibri" w:hAnsi="Times New Roman" w:cs="Times New Roman"/>
              </w:rPr>
              <w:t xml:space="preserve"> </w:t>
            </w:r>
            <w:r w:rsidRPr="00176BFA">
              <w:rPr>
                <w:rFonts w:ascii="Times New Roman" w:eastAsia="Calibri" w:hAnsi="Times New Roman" w:cs="Times New Roman"/>
              </w:rPr>
              <w:t xml:space="preserve">rekomendacją HAS </w:t>
            </w:r>
            <w:r>
              <w:rPr>
                <w:rFonts w:ascii="Times New Roman" w:eastAsia="Calibri" w:hAnsi="Times New Roman" w:cs="Times New Roman"/>
              </w:rPr>
              <w:t>(Francja 2007) leczenie</w:t>
            </w:r>
            <w:r w:rsidRPr="00176BFA">
              <w:rPr>
                <w:rFonts w:ascii="Times New Roman" w:eastAsia="Calibri" w:hAnsi="Times New Roman" w:cs="Times New Roman"/>
              </w:rPr>
              <w:t xml:space="preserve"> powin</w:t>
            </w:r>
            <w:r>
              <w:rPr>
                <w:rFonts w:ascii="Times New Roman" w:eastAsia="Calibri" w:hAnsi="Times New Roman" w:cs="Times New Roman"/>
              </w:rPr>
              <w:t>no</w:t>
            </w:r>
            <w:r w:rsidRPr="00176BFA">
              <w:rPr>
                <w:rFonts w:ascii="Times New Roman" w:eastAsia="Calibri" w:hAnsi="Times New Roman" w:cs="Times New Roman"/>
              </w:rPr>
              <w:t xml:space="preserve"> byś stosowan</w:t>
            </w:r>
            <w:r>
              <w:rPr>
                <w:rFonts w:ascii="Times New Roman" w:eastAsia="Calibri" w:hAnsi="Times New Roman" w:cs="Times New Roman"/>
              </w:rPr>
              <w:t>e</w:t>
            </w:r>
            <w:r w:rsidRPr="00176BFA">
              <w:rPr>
                <w:rFonts w:ascii="Times New Roman" w:eastAsia="Calibri" w:hAnsi="Times New Roman" w:cs="Times New Roman"/>
              </w:rPr>
              <w:t xml:space="preserve"> jedynie u pacjentów skierowanych przez lekarza doświadczonego w postępowaniu z pacjentami z zaburzeniami ruchu bądź otępieniem. </w:t>
            </w:r>
            <w:proofErr w:type="spellStart"/>
            <w:r w:rsidRPr="00176BFA">
              <w:rPr>
                <w:rFonts w:ascii="Times New Roman" w:eastAsia="Calibri" w:hAnsi="Times New Roman" w:cs="Times New Roman"/>
              </w:rPr>
              <w:t>Radiofarmaceutyk</w:t>
            </w:r>
            <w:proofErr w:type="spellEnd"/>
            <w:r w:rsidRPr="00176BFA">
              <w:rPr>
                <w:rFonts w:ascii="Times New Roman" w:eastAsia="Calibri" w:hAnsi="Times New Roman" w:cs="Times New Roman"/>
              </w:rPr>
              <w:t xml:space="preserve"> powinien być używany jedynie przez wykwalifikowany personel posiadający  odpowiednie  uprawnienia</w:t>
            </w:r>
            <w:r>
              <w:rPr>
                <w:rFonts w:ascii="Times New Roman" w:eastAsia="Calibri" w:hAnsi="Times New Roman" w:cs="Times New Roman"/>
              </w:rPr>
              <w:t xml:space="preserve">  oraz  stosowany  określonych warunkach </w:t>
            </w:r>
            <w:r w:rsidRPr="00176BFA">
              <w:rPr>
                <w:rFonts w:ascii="Times New Roman" w:eastAsia="Calibri" w:hAnsi="Times New Roman" w:cs="Times New Roman"/>
              </w:rPr>
              <w:t xml:space="preserve">klinicznych. Wskazaniem do stosowania </w:t>
            </w:r>
            <w:r>
              <w:rPr>
                <w:rFonts w:ascii="Times New Roman" w:eastAsia="Calibri" w:hAnsi="Times New Roman" w:cs="Times New Roman"/>
              </w:rPr>
              <w:t>diagnostyki</w:t>
            </w:r>
            <w:r w:rsidRPr="00176BFA">
              <w:rPr>
                <w:rFonts w:ascii="Times New Roman" w:eastAsia="Calibri" w:hAnsi="Times New Roman" w:cs="Times New Roman"/>
              </w:rPr>
              <w:t xml:space="preserve"> jest ocena utraty liczby funkcjonalnych dopaminergicz</w:t>
            </w:r>
            <w:r>
              <w:rPr>
                <w:rFonts w:ascii="Times New Roman" w:eastAsia="Calibri" w:hAnsi="Times New Roman" w:cs="Times New Roman"/>
              </w:rPr>
              <w:t xml:space="preserve">nych zakończeń neuronalnych w </w:t>
            </w:r>
            <w:proofErr w:type="spellStart"/>
            <w:r>
              <w:rPr>
                <w:rFonts w:ascii="Times New Roman" w:eastAsia="Calibri" w:hAnsi="Times New Roman" w:cs="Times New Roman"/>
              </w:rPr>
              <w:t>prążkowiu</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upacjentów</w:t>
            </w:r>
            <w:proofErr w:type="spellEnd"/>
            <w:r>
              <w:rPr>
                <w:rFonts w:ascii="Times New Roman" w:eastAsia="Calibri" w:hAnsi="Times New Roman" w:cs="Times New Roman"/>
              </w:rPr>
              <w:t xml:space="preserve"> z niejednoznacznym  obrazem </w:t>
            </w:r>
            <w:r w:rsidRPr="00176BFA">
              <w:rPr>
                <w:rFonts w:ascii="Times New Roman" w:eastAsia="Calibri" w:hAnsi="Times New Roman" w:cs="Times New Roman"/>
              </w:rPr>
              <w:t xml:space="preserve">klinicznym parkinsonizmu w celu wykluczenia drżenia samoistnego. </w:t>
            </w:r>
            <w:r>
              <w:rPr>
                <w:rFonts w:ascii="Times New Roman" w:eastAsia="Calibri" w:hAnsi="Times New Roman" w:cs="Times New Roman"/>
              </w:rPr>
              <w:t xml:space="preserve">Diagnostyka </w:t>
            </w:r>
            <w:r w:rsidRPr="00176BFA">
              <w:rPr>
                <w:rFonts w:ascii="Times New Roman" w:eastAsia="Calibri" w:hAnsi="Times New Roman" w:cs="Times New Roman"/>
              </w:rPr>
              <w:t>nie u</w:t>
            </w:r>
            <w:r>
              <w:rPr>
                <w:rFonts w:ascii="Times New Roman" w:eastAsia="Calibri" w:hAnsi="Times New Roman" w:cs="Times New Roman"/>
              </w:rPr>
              <w:t xml:space="preserve">możliwia zróżnicowania choroby </w:t>
            </w:r>
            <w:r w:rsidRPr="00176BFA">
              <w:rPr>
                <w:rFonts w:ascii="Times New Roman" w:eastAsia="Calibri" w:hAnsi="Times New Roman" w:cs="Times New Roman"/>
              </w:rPr>
              <w:t>P</w:t>
            </w:r>
            <w:r>
              <w:rPr>
                <w:rFonts w:ascii="Times New Roman" w:eastAsia="Calibri" w:hAnsi="Times New Roman" w:cs="Times New Roman"/>
              </w:rPr>
              <w:t xml:space="preserve">arkinsona, zaniku wieloukładowego, postępującego porażenia nadjądrowego </w:t>
            </w:r>
            <w:r w:rsidRPr="00176BFA">
              <w:rPr>
                <w:rFonts w:ascii="Times New Roman" w:eastAsia="Calibri" w:hAnsi="Times New Roman" w:cs="Times New Roman"/>
              </w:rPr>
              <w:t xml:space="preserve">oraz otępienia z ciałami </w:t>
            </w:r>
            <w:proofErr w:type="spellStart"/>
            <w:r w:rsidRPr="00176BFA">
              <w:rPr>
                <w:rFonts w:ascii="Times New Roman" w:eastAsia="Calibri" w:hAnsi="Times New Roman" w:cs="Times New Roman"/>
              </w:rPr>
              <w:t>Lewy'ego</w:t>
            </w:r>
            <w:proofErr w:type="spellEnd"/>
            <w:r w:rsidRPr="00176BFA">
              <w:rPr>
                <w:rFonts w:ascii="Times New Roman" w:eastAsia="Calibri" w:hAnsi="Times New Roman" w:cs="Times New Roman"/>
              </w:rPr>
              <w:t>.</w:t>
            </w:r>
          </w:p>
          <w:p w14:paraId="248B0E9D" w14:textId="77777777" w:rsidR="007B1E52" w:rsidRDefault="0099230C" w:rsidP="00173D72">
            <w:pPr>
              <w:tabs>
                <w:tab w:val="left" w:pos="851"/>
              </w:tabs>
              <w:spacing w:after="0" w:line="240" w:lineRule="auto"/>
              <w:jc w:val="both"/>
              <w:rPr>
                <w:rFonts w:ascii="Times New Roman" w:eastAsia="Calibri" w:hAnsi="Times New Roman" w:cs="Times New Roman"/>
              </w:rPr>
            </w:pPr>
            <w:proofErr w:type="spellStart"/>
            <w:r>
              <w:rPr>
                <w:rFonts w:ascii="Times New Roman" w:eastAsia="Calibri" w:hAnsi="Times New Roman" w:cs="Times New Roman"/>
              </w:rPr>
              <w:t>Hemodiafiltracja</w:t>
            </w:r>
            <w:proofErr w:type="spellEnd"/>
            <w:r>
              <w:rPr>
                <w:rFonts w:ascii="Times New Roman" w:eastAsia="Calibri" w:hAnsi="Times New Roman" w:cs="Times New Roman"/>
              </w:rPr>
              <w:t xml:space="preserve">. </w:t>
            </w:r>
            <w:r w:rsidRPr="0099230C">
              <w:rPr>
                <w:rFonts w:ascii="Times New Roman" w:eastAsia="Calibri" w:hAnsi="Times New Roman" w:cs="Times New Roman"/>
              </w:rPr>
              <w:t>Dane z obserwacyjnego badania DOPPS (3 kohorty pacjentów, leczone w latach: 1996-2001, 2002-2004 i 2006-2008) wskazywały na stosowanie HDF w Australii, Nowej Zelandii i wszystkich krajach</w:t>
            </w:r>
            <w:r>
              <w:rPr>
                <w:rFonts w:ascii="Times New Roman" w:eastAsia="Calibri" w:hAnsi="Times New Roman" w:cs="Times New Roman"/>
              </w:rPr>
              <w:t xml:space="preserve"> </w:t>
            </w:r>
            <w:r w:rsidRPr="0099230C">
              <w:rPr>
                <w:rFonts w:ascii="Times New Roman" w:eastAsia="Calibri" w:hAnsi="Times New Roman" w:cs="Times New Roman"/>
              </w:rPr>
              <w:t xml:space="preserve">europejskich, przy </w:t>
            </w:r>
            <w:r w:rsidRPr="0099230C">
              <w:rPr>
                <w:rFonts w:ascii="Times New Roman" w:eastAsia="Calibri" w:hAnsi="Times New Roman" w:cs="Times New Roman"/>
              </w:rPr>
              <w:lastRenderedPageBreak/>
              <w:t>największym udziale pacjentów leczonych HDF w populacjach Włoch (18%) i</w:t>
            </w:r>
            <w:r>
              <w:rPr>
                <w:rFonts w:ascii="Times New Roman" w:eastAsia="Calibri" w:hAnsi="Times New Roman" w:cs="Times New Roman"/>
              </w:rPr>
              <w:t xml:space="preserve"> </w:t>
            </w:r>
            <w:r w:rsidRPr="0099230C">
              <w:rPr>
                <w:rFonts w:ascii="Times New Roman" w:eastAsia="Calibri" w:hAnsi="Times New Roman" w:cs="Times New Roman"/>
              </w:rPr>
              <w:t>Szwecji (15%). Częstość stosowania HDF była zróżnicowana również wewnątrz badanych krajów.</w:t>
            </w:r>
            <w:r>
              <w:rPr>
                <w:rFonts w:ascii="Times New Roman" w:eastAsia="Calibri" w:hAnsi="Times New Roman" w:cs="Times New Roman"/>
              </w:rPr>
              <w:t xml:space="preserve"> </w:t>
            </w:r>
            <w:r w:rsidRPr="0099230C">
              <w:rPr>
                <w:rFonts w:ascii="Times New Roman" w:eastAsia="Calibri" w:hAnsi="Times New Roman" w:cs="Times New Roman"/>
              </w:rPr>
              <w:t>Rozpowszechnienie wysokoobjętościowej HDF wzrastało w</w:t>
            </w:r>
            <w:r w:rsidR="009919DC">
              <w:rPr>
                <w:rFonts w:ascii="Times New Roman" w:eastAsia="Calibri" w:hAnsi="Times New Roman" w:cs="Times New Roman"/>
              </w:rPr>
              <w:t> </w:t>
            </w:r>
            <w:r w:rsidRPr="0099230C">
              <w:rPr>
                <w:rFonts w:ascii="Times New Roman" w:eastAsia="Calibri" w:hAnsi="Times New Roman" w:cs="Times New Roman"/>
              </w:rPr>
              <w:t>czasie (w kolejnych kohortach: 4,1%,</w:t>
            </w:r>
            <w:r>
              <w:rPr>
                <w:rFonts w:ascii="Times New Roman" w:eastAsia="Calibri" w:hAnsi="Times New Roman" w:cs="Times New Roman"/>
              </w:rPr>
              <w:t xml:space="preserve"> </w:t>
            </w:r>
            <w:r w:rsidRPr="0099230C">
              <w:rPr>
                <w:rFonts w:ascii="Times New Roman" w:eastAsia="Calibri" w:hAnsi="Times New Roman" w:cs="Times New Roman"/>
              </w:rPr>
              <w:t>5,7% i 9,6%). Z ostatniego raportu ERA-EDTA (2010) wynika, że – wśród krajów, które rejestrują dane</w:t>
            </w:r>
            <w:r>
              <w:rPr>
                <w:rFonts w:ascii="Times New Roman" w:eastAsia="Calibri" w:hAnsi="Times New Roman" w:cs="Times New Roman"/>
              </w:rPr>
              <w:t xml:space="preserve"> </w:t>
            </w:r>
            <w:r w:rsidRPr="0099230C">
              <w:rPr>
                <w:rFonts w:ascii="Times New Roman" w:eastAsia="Calibri" w:hAnsi="Times New Roman" w:cs="Times New Roman"/>
              </w:rPr>
              <w:t>dotyczące stosowanych metod hemodializy – HDF jest najpowszechniej stosowana w Estonii, Słowacji</w:t>
            </w:r>
            <w:r>
              <w:rPr>
                <w:rFonts w:ascii="Times New Roman" w:eastAsia="Calibri" w:hAnsi="Times New Roman" w:cs="Times New Roman"/>
              </w:rPr>
              <w:t xml:space="preserve"> </w:t>
            </w:r>
            <w:r w:rsidRPr="0099230C">
              <w:rPr>
                <w:rFonts w:ascii="Times New Roman" w:eastAsia="Calibri" w:hAnsi="Times New Roman" w:cs="Times New Roman"/>
              </w:rPr>
              <w:t>i Portugalii (&gt;40% pacjentów leczonych hemodializą, z uwzględnieniem terapii konwekcyjnych),</w:t>
            </w:r>
            <w:r>
              <w:rPr>
                <w:rFonts w:ascii="Times New Roman" w:eastAsia="Calibri" w:hAnsi="Times New Roman" w:cs="Times New Roman"/>
              </w:rPr>
              <w:t xml:space="preserve"> </w:t>
            </w:r>
            <w:r w:rsidR="009919DC">
              <w:rPr>
                <w:rFonts w:ascii="Times New Roman" w:eastAsia="Calibri" w:hAnsi="Times New Roman" w:cs="Times New Roman"/>
              </w:rPr>
              <w:t>natomiast do krajów o </w:t>
            </w:r>
            <w:r w:rsidRPr="0099230C">
              <w:rPr>
                <w:rFonts w:ascii="Times New Roman" w:eastAsia="Calibri" w:hAnsi="Times New Roman" w:cs="Times New Roman"/>
              </w:rPr>
              <w:t>stosunkowo niewielkim wykorzystaniu tej metody (&lt;10%) należą Włochy,</w:t>
            </w:r>
            <w:r>
              <w:rPr>
                <w:rFonts w:ascii="Times New Roman" w:eastAsia="Calibri" w:hAnsi="Times New Roman" w:cs="Times New Roman"/>
              </w:rPr>
              <w:t xml:space="preserve"> </w:t>
            </w:r>
            <w:r w:rsidRPr="0099230C">
              <w:rPr>
                <w:rFonts w:ascii="Times New Roman" w:eastAsia="Calibri" w:hAnsi="Times New Roman" w:cs="Times New Roman"/>
              </w:rPr>
              <w:t>Chorwacja, Wielka Brytania, Turcja, Hiszpania i Rumunia. Zerowy poziom rozpowszechnienia HDF</w:t>
            </w:r>
            <w:r>
              <w:rPr>
                <w:rFonts w:ascii="Times New Roman" w:eastAsia="Calibri" w:hAnsi="Times New Roman" w:cs="Times New Roman"/>
              </w:rPr>
              <w:t xml:space="preserve"> </w:t>
            </w:r>
            <w:r w:rsidRPr="0099230C">
              <w:rPr>
                <w:rFonts w:ascii="Times New Roman" w:eastAsia="Calibri" w:hAnsi="Times New Roman" w:cs="Times New Roman"/>
              </w:rPr>
              <w:t>notowano w Czarnogórze, Izraelu, Macedonii i Rosji. Wśród krajów o PKB per capita zbliżonym do</w:t>
            </w:r>
            <w:r>
              <w:rPr>
                <w:rFonts w:ascii="Times New Roman" w:eastAsia="Calibri" w:hAnsi="Times New Roman" w:cs="Times New Roman"/>
              </w:rPr>
              <w:t xml:space="preserve"> </w:t>
            </w:r>
            <w:r w:rsidRPr="0099230C">
              <w:rPr>
                <w:rFonts w:ascii="Times New Roman" w:eastAsia="Calibri" w:hAnsi="Times New Roman" w:cs="Times New Roman"/>
              </w:rPr>
              <w:t>Polski (±15%) odsetek pacjentów stosujących HDF notowany wśród hemodializowanych był</w:t>
            </w:r>
            <w:r>
              <w:rPr>
                <w:rFonts w:ascii="Times New Roman" w:eastAsia="Calibri" w:hAnsi="Times New Roman" w:cs="Times New Roman"/>
              </w:rPr>
              <w:t xml:space="preserve"> </w:t>
            </w:r>
            <w:r w:rsidRPr="0099230C">
              <w:rPr>
                <w:rFonts w:ascii="Times New Roman" w:eastAsia="Calibri" w:hAnsi="Times New Roman" w:cs="Times New Roman"/>
              </w:rPr>
              <w:t>następujący: Estonia (75%), Słowacja (49%), Chorwacja (4%), natomiast brak w rejestrze danych w</w:t>
            </w:r>
            <w:r>
              <w:rPr>
                <w:rFonts w:ascii="Times New Roman" w:eastAsia="Calibri" w:hAnsi="Times New Roman" w:cs="Times New Roman"/>
              </w:rPr>
              <w:t xml:space="preserve"> </w:t>
            </w:r>
            <w:r w:rsidRPr="0099230C">
              <w:rPr>
                <w:rFonts w:ascii="Times New Roman" w:eastAsia="Calibri" w:hAnsi="Times New Roman" w:cs="Times New Roman"/>
              </w:rPr>
              <w:t>tym zakresie dla Łotwy, Litwy i Węgier.</w:t>
            </w:r>
            <w:r>
              <w:rPr>
                <w:rFonts w:ascii="Times New Roman" w:eastAsia="Calibri" w:hAnsi="Times New Roman" w:cs="Times New Roman"/>
              </w:rPr>
              <w:t xml:space="preserve"> </w:t>
            </w:r>
            <w:r w:rsidRPr="0099230C">
              <w:rPr>
                <w:rFonts w:ascii="Times New Roman" w:eastAsia="Calibri" w:hAnsi="Times New Roman" w:cs="Times New Roman"/>
              </w:rPr>
              <w:t xml:space="preserve">Zgodnie z publikacją </w:t>
            </w:r>
            <w:proofErr w:type="spellStart"/>
            <w:r w:rsidRPr="0099230C">
              <w:rPr>
                <w:rFonts w:ascii="Times New Roman" w:eastAsia="Calibri" w:hAnsi="Times New Roman" w:cs="Times New Roman"/>
              </w:rPr>
              <w:t>Vanholder</w:t>
            </w:r>
            <w:proofErr w:type="spellEnd"/>
            <w:r w:rsidRPr="0099230C">
              <w:rPr>
                <w:rFonts w:ascii="Times New Roman" w:eastAsia="Calibri" w:hAnsi="Times New Roman" w:cs="Times New Roman"/>
              </w:rPr>
              <w:t xml:space="preserve"> 2012 (</w:t>
            </w:r>
            <w:proofErr w:type="spellStart"/>
            <w:r w:rsidRPr="0099230C">
              <w:rPr>
                <w:rFonts w:ascii="Times New Roman" w:eastAsia="Calibri" w:hAnsi="Times New Roman" w:cs="Times New Roman"/>
              </w:rPr>
              <w:t>Dialysis</w:t>
            </w:r>
            <w:proofErr w:type="spellEnd"/>
            <w:r w:rsidRPr="0099230C">
              <w:rPr>
                <w:rFonts w:ascii="Times New Roman" w:eastAsia="Calibri" w:hAnsi="Times New Roman" w:cs="Times New Roman"/>
              </w:rPr>
              <w:t xml:space="preserve"> </w:t>
            </w:r>
            <w:proofErr w:type="spellStart"/>
            <w:r w:rsidRPr="0099230C">
              <w:rPr>
                <w:rFonts w:ascii="Times New Roman" w:eastAsia="Calibri" w:hAnsi="Times New Roman" w:cs="Times New Roman"/>
              </w:rPr>
              <w:t>Advisory</w:t>
            </w:r>
            <w:proofErr w:type="spellEnd"/>
            <w:r w:rsidRPr="0099230C">
              <w:rPr>
                <w:rFonts w:ascii="Times New Roman" w:eastAsia="Calibri" w:hAnsi="Times New Roman" w:cs="Times New Roman"/>
              </w:rPr>
              <w:t xml:space="preserve"> Group of American </w:t>
            </w:r>
            <w:proofErr w:type="spellStart"/>
            <w:r w:rsidRPr="0099230C">
              <w:rPr>
                <w:rFonts w:ascii="Times New Roman" w:eastAsia="Calibri" w:hAnsi="Times New Roman" w:cs="Times New Roman"/>
              </w:rPr>
              <w:t>Society</w:t>
            </w:r>
            <w:proofErr w:type="spellEnd"/>
            <w:r w:rsidRPr="0099230C">
              <w:rPr>
                <w:rFonts w:ascii="Times New Roman" w:eastAsia="Calibri" w:hAnsi="Times New Roman" w:cs="Times New Roman"/>
              </w:rPr>
              <w:t xml:space="preserve"> of </w:t>
            </w:r>
            <w:proofErr w:type="spellStart"/>
            <w:r w:rsidRPr="0099230C">
              <w:rPr>
                <w:rFonts w:ascii="Times New Roman" w:eastAsia="Calibri" w:hAnsi="Times New Roman" w:cs="Times New Roman"/>
              </w:rPr>
              <w:t>Nephrology</w:t>
            </w:r>
            <w:proofErr w:type="spellEnd"/>
            <w:r w:rsidRPr="0099230C">
              <w:rPr>
                <w:rFonts w:ascii="Times New Roman" w:eastAsia="Calibri" w:hAnsi="Times New Roman" w:cs="Times New Roman"/>
              </w:rPr>
              <w:t>),</w:t>
            </w:r>
            <w:r>
              <w:rPr>
                <w:rFonts w:ascii="Times New Roman" w:eastAsia="Calibri" w:hAnsi="Times New Roman" w:cs="Times New Roman"/>
              </w:rPr>
              <w:t xml:space="preserve"> </w:t>
            </w:r>
            <w:r w:rsidRPr="0099230C">
              <w:rPr>
                <w:rFonts w:ascii="Times New Roman" w:eastAsia="Calibri" w:hAnsi="Times New Roman" w:cs="Times New Roman"/>
              </w:rPr>
              <w:t>przedstawiającą wyniki porównania sposobów refundacji dializoterapii w 7 krajach/regionach Europy</w:t>
            </w:r>
            <w:r>
              <w:rPr>
                <w:rFonts w:ascii="Times New Roman" w:eastAsia="Calibri" w:hAnsi="Times New Roman" w:cs="Times New Roman"/>
              </w:rPr>
              <w:t xml:space="preserve"> </w:t>
            </w:r>
            <w:r w:rsidR="009919DC">
              <w:rPr>
                <w:rFonts w:ascii="Times New Roman" w:eastAsia="Calibri" w:hAnsi="Times New Roman" w:cs="Times New Roman"/>
              </w:rPr>
              <w:t>i </w:t>
            </w:r>
            <w:r w:rsidRPr="0099230C">
              <w:rPr>
                <w:rFonts w:ascii="Times New Roman" w:eastAsia="Calibri" w:hAnsi="Times New Roman" w:cs="Times New Roman"/>
              </w:rPr>
              <w:t xml:space="preserve">Ameryki </w:t>
            </w:r>
            <w:r w:rsidR="009919DC">
              <w:rPr>
                <w:rFonts w:ascii="Times New Roman" w:eastAsia="Calibri" w:hAnsi="Times New Roman" w:cs="Times New Roman"/>
              </w:rPr>
              <w:t>Północnej, tj.</w:t>
            </w:r>
            <w:r w:rsidRPr="0099230C">
              <w:rPr>
                <w:rFonts w:ascii="Times New Roman" w:eastAsia="Calibri" w:hAnsi="Times New Roman" w:cs="Times New Roman"/>
              </w:rPr>
              <w:t xml:space="preserve"> Belgii, Francji, Niemczech, Holandii, Kanadzie (On</w:t>
            </w:r>
            <w:r w:rsidR="009919DC">
              <w:rPr>
                <w:rFonts w:ascii="Times New Roman" w:eastAsia="Calibri" w:hAnsi="Times New Roman" w:cs="Times New Roman"/>
              </w:rPr>
              <w:t>tario) i USA.</w:t>
            </w:r>
            <w:r w:rsidRPr="0099230C">
              <w:rPr>
                <w:rFonts w:ascii="Times New Roman" w:eastAsia="Calibri" w:hAnsi="Times New Roman" w:cs="Times New Roman"/>
              </w:rPr>
              <w:t xml:space="preserve"> </w:t>
            </w:r>
            <w:r w:rsidR="009919DC">
              <w:rPr>
                <w:rFonts w:ascii="Times New Roman" w:eastAsia="Calibri" w:hAnsi="Times New Roman" w:cs="Times New Roman"/>
              </w:rPr>
              <w:t>W</w:t>
            </w:r>
            <w:r w:rsidRPr="0099230C">
              <w:rPr>
                <w:rFonts w:ascii="Times New Roman" w:eastAsia="Calibri" w:hAnsi="Times New Roman" w:cs="Times New Roman"/>
              </w:rPr>
              <w:t xml:space="preserve"> żadnym z</w:t>
            </w:r>
            <w:r>
              <w:rPr>
                <w:rFonts w:ascii="Times New Roman" w:eastAsia="Calibri" w:hAnsi="Times New Roman" w:cs="Times New Roman"/>
              </w:rPr>
              <w:t xml:space="preserve"> </w:t>
            </w:r>
            <w:r w:rsidRPr="0099230C">
              <w:rPr>
                <w:rFonts w:ascii="Times New Roman" w:eastAsia="Calibri" w:hAnsi="Times New Roman" w:cs="Times New Roman"/>
              </w:rPr>
              <w:t>badanych krajów/regionów nie stosowano dodatkowych zachęt finansowych do stosowania</w:t>
            </w:r>
            <w:r>
              <w:rPr>
                <w:rFonts w:ascii="Times New Roman" w:eastAsia="Calibri" w:hAnsi="Times New Roman" w:cs="Times New Roman"/>
              </w:rPr>
              <w:t xml:space="preserve"> </w:t>
            </w:r>
            <w:r w:rsidRPr="0099230C">
              <w:rPr>
                <w:rFonts w:ascii="Times New Roman" w:eastAsia="Calibri" w:hAnsi="Times New Roman" w:cs="Times New Roman"/>
              </w:rPr>
              <w:t>„niestandardowych” strategii dializoterapii w postaci HDF-</w:t>
            </w:r>
            <w:proofErr w:type="spellStart"/>
            <w:r w:rsidRPr="0099230C">
              <w:rPr>
                <w:rFonts w:ascii="Times New Roman" w:eastAsia="Calibri" w:hAnsi="Times New Roman" w:cs="Times New Roman"/>
              </w:rPr>
              <w:t>ol</w:t>
            </w:r>
            <w:proofErr w:type="spellEnd"/>
            <w:r w:rsidRPr="0099230C">
              <w:rPr>
                <w:rFonts w:ascii="Times New Roman" w:eastAsia="Calibri" w:hAnsi="Times New Roman" w:cs="Times New Roman"/>
              </w:rPr>
              <w:t xml:space="preserve"> i high-</w:t>
            </w:r>
            <w:proofErr w:type="spellStart"/>
            <w:r w:rsidRPr="0099230C">
              <w:rPr>
                <w:rFonts w:ascii="Times New Roman" w:eastAsia="Calibri" w:hAnsi="Times New Roman" w:cs="Times New Roman"/>
              </w:rPr>
              <w:t>flux</w:t>
            </w:r>
            <w:proofErr w:type="spellEnd"/>
            <w:r w:rsidRPr="0099230C">
              <w:rPr>
                <w:rFonts w:ascii="Times New Roman" w:eastAsia="Calibri" w:hAnsi="Times New Roman" w:cs="Times New Roman"/>
              </w:rPr>
              <w:t xml:space="preserve"> HD. Z informacji</w:t>
            </w:r>
            <w:r>
              <w:rPr>
                <w:rFonts w:ascii="Times New Roman" w:eastAsia="Calibri" w:hAnsi="Times New Roman" w:cs="Times New Roman"/>
              </w:rPr>
              <w:t xml:space="preserve"> </w:t>
            </w:r>
            <w:r w:rsidRPr="0099230C">
              <w:rPr>
                <w:rFonts w:ascii="Times New Roman" w:eastAsia="Calibri" w:hAnsi="Times New Roman" w:cs="Times New Roman"/>
              </w:rPr>
              <w:t>odnalezionych w innych publikacjach wynika, że odrębne finansowanie HDF (zwłaszcza HDF-</w:t>
            </w:r>
            <w:proofErr w:type="spellStart"/>
            <w:r w:rsidRPr="0099230C">
              <w:rPr>
                <w:rFonts w:ascii="Times New Roman" w:eastAsia="Calibri" w:hAnsi="Times New Roman" w:cs="Times New Roman"/>
              </w:rPr>
              <w:t>ol</w:t>
            </w:r>
            <w:proofErr w:type="spellEnd"/>
            <w:r w:rsidRPr="0099230C">
              <w:rPr>
                <w:rFonts w:ascii="Times New Roman" w:eastAsia="Calibri" w:hAnsi="Times New Roman" w:cs="Times New Roman"/>
              </w:rPr>
              <w:t>)</w:t>
            </w:r>
            <w:r>
              <w:rPr>
                <w:rFonts w:ascii="Times New Roman" w:eastAsia="Calibri" w:hAnsi="Times New Roman" w:cs="Times New Roman"/>
              </w:rPr>
              <w:t xml:space="preserve"> </w:t>
            </w:r>
            <w:r w:rsidRPr="0099230C">
              <w:rPr>
                <w:rFonts w:ascii="Times New Roman" w:eastAsia="Calibri" w:hAnsi="Times New Roman" w:cs="Times New Roman"/>
              </w:rPr>
              <w:t>funkcjonuje w Katalonii (Hiszpania), Włoszech (w niektórych regionach liczba pacjentów leczonych</w:t>
            </w:r>
            <w:r>
              <w:rPr>
                <w:rFonts w:ascii="Times New Roman" w:eastAsia="Calibri" w:hAnsi="Times New Roman" w:cs="Times New Roman"/>
              </w:rPr>
              <w:t xml:space="preserve"> </w:t>
            </w:r>
            <w:r w:rsidRPr="0099230C">
              <w:rPr>
                <w:rFonts w:ascii="Times New Roman" w:eastAsia="Calibri" w:hAnsi="Times New Roman" w:cs="Times New Roman"/>
              </w:rPr>
              <w:t>HDF limitowana przez płatnika) i Japonii.</w:t>
            </w:r>
          </w:p>
          <w:p w14:paraId="05BC5A7B" w14:textId="77777777" w:rsidR="00176BFA" w:rsidRPr="00442C01" w:rsidRDefault="00176BFA" w:rsidP="00173D72">
            <w:pPr>
              <w:tabs>
                <w:tab w:val="left" w:pos="851"/>
              </w:tabs>
              <w:spacing w:after="0" w:line="240" w:lineRule="auto"/>
              <w:jc w:val="both"/>
              <w:rPr>
                <w:rFonts w:ascii="Times New Roman" w:eastAsia="Calibri" w:hAnsi="Times New Roman" w:cs="Times New Roman"/>
              </w:rPr>
            </w:pPr>
            <w:r w:rsidRPr="00176BFA">
              <w:rPr>
                <w:rFonts w:ascii="Times New Roman" w:eastAsia="Calibri" w:hAnsi="Times New Roman" w:cs="Times New Roman"/>
              </w:rPr>
              <w:t>Zastosowanie znakowanych radioizotopowo peptydów w leczeniu chorych na nieoperacyjne guzy neuroendokrynne</w:t>
            </w:r>
            <w:r w:rsidR="00D832AD">
              <w:rPr>
                <w:rFonts w:ascii="Times New Roman" w:eastAsia="Calibri" w:hAnsi="Times New Roman" w:cs="Times New Roman"/>
              </w:rPr>
              <w:t>. W </w:t>
            </w:r>
            <w:r>
              <w:rPr>
                <w:rFonts w:ascii="Times New Roman" w:eastAsia="Calibri" w:hAnsi="Times New Roman" w:cs="Times New Roman"/>
              </w:rPr>
              <w:t>ramach przeglądu odnaleziono 4 pozytywne rekomendacje dla zastosowania znakow</w:t>
            </w:r>
            <w:r w:rsidR="00D832AD">
              <w:rPr>
                <w:rFonts w:ascii="Times New Roman" w:eastAsia="Calibri" w:hAnsi="Times New Roman" w:cs="Times New Roman"/>
              </w:rPr>
              <w:t>anych radioizotopowo analogów w </w:t>
            </w:r>
            <w:r>
              <w:rPr>
                <w:rFonts w:ascii="Times New Roman" w:eastAsia="Calibri" w:hAnsi="Times New Roman" w:cs="Times New Roman"/>
              </w:rPr>
              <w:t xml:space="preserve">terapii NET. </w:t>
            </w:r>
            <w:r w:rsidR="00D832AD">
              <w:rPr>
                <w:rFonts w:ascii="Times New Roman" w:eastAsia="Calibri" w:hAnsi="Times New Roman" w:cs="Times New Roman"/>
              </w:rPr>
              <w:t xml:space="preserve">Metoda jest </w:t>
            </w:r>
            <w:r>
              <w:rPr>
                <w:rFonts w:ascii="Times New Roman" w:eastAsia="Calibri" w:hAnsi="Times New Roman" w:cs="Times New Roman"/>
              </w:rPr>
              <w:t>rekomendowan</w:t>
            </w:r>
            <w:r w:rsidR="00D832AD">
              <w:rPr>
                <w:rFonts w:ascii="Times New Roman" w:eastAsia="Calibri" w:hAnsi="Times New Roman" w:cs="Times New Roman"/>
              </w:rPr>
              <w:t>a</w:t>
            </w:r>
            <w:r>
              <w:rPr>
                <w:rFonts w:ascii="Times New Roman" w:eastAsia="Calibri" w:hAnsi="Times New Roman" w:cs="Times New Roman"/>
              </w:rPr>
              <w:t xml:space="preserve"> w leczeniu pacjentów</w:t>
            </w:r>
            <w:r w:rsidR="00D832AD">
              <w:rPr>
                <w:rFonts w:ascii="Times New Roman" w:eastAsia="Calibri" w:hAnsi="Times New Roman" w:cs="Times New Roman"/>
              </w:rPr>
              <w:t xml:space="preserve"> z wysoką ekspresją receptora dla SST, potwierdzoną w badaniu scyntygraficznym. </w:t>
            </w:r>
            <w:r w:rsidR="009919DC">
              <w:rPr>
                <w:rFonts w:ascii="Times New Roman" w:eastAsia="Calibri" w:hAnsi="Times New Roman" w:cs="Times New Roman"/>
              </w:rPr>
              <w:t>Należy</w:t>
            </w:r>
            <w:r w:rsidR="00D832AD">
              <w:rPr>
                <w:rFonts w:ascii="Times New Roman" w:eastAsia="Calibri" w:hAnsi="Times New Roman" w:cs="Times New Roman"/>
              </w:rPr>
              <w:t xml:space="preserve"> przy tym zauważyć, że zagraniczne wytyczne </w:t>
            </w:r>
            <w:r w:rsidR="009919DC">
              <w:rPr>
                <w:rFonts w:ascii="Times New Roman" w:eastAsia="Calibri" w:hAnsi="Times New Roman" w:cs="Times New Roman"/>
              </w:rPr>
              <w:t>odnoszą</w:t>
            </w:r>
            <w:r w:rsidR="00D832AD">
              <w:rPr>
                <w:rFonts w:ascii="Times New Roman" w:eastAsia="Calibri" w:hAnsi="Times New Roman" w:cs="Times New Roman"/>
              </w:rPr>
              <w:t xml:space="preserve"> się do guzów neuroendokrynnych bez względu na </w:t>
            </w:r>
            <w:r w:rsidR="009919DC">
              <w:rPr>
                <w:rFonts w:ascii="Times New Roman" w:eastAsia="Calibri" w:hAnsi="Times New Roman" w:cs="Times New Roman"/>
              </w:rPr>
              <w:t>lokalizację</w:t>
            </w:r>
            <w:r w:rsidR="00D832AD">
              <w:rPr>
                <w:rFonts w:ascii="Times New Roman" w:eastAsia="Calibri" w:hAnsi="Times New Roman" w:cs="Times New Roman"/>
              </w:rPr>
              <w:t>; polskie stanowiska natomiast jako grupę docelową dla ocenianej terapii wskazują nowotwory neuroendokrynne układu pokarmowego. W ramach przeprowadzonego wyszukiwania określono, że procedura jest wykonywana w Holandii, Szwajcarii i w Niemczech.</w:t>
            </w:r>
          </w:p>
        </w:tc>
      </w:tr>
      <w:tr w:rsidR="007B1E52" w:rsidRPr="00442C01" w14:paraId="485FD120" w14:textId="77777777" w:rsidTr="00442C01">
        <w:trPr>
          <w:gridAfter w:val="1"/>
          <w:wAfter w:w="10" w:type="dxa"/>
          <w:trHeight w:val="359"/>
        </w:trPr>
        <w:tc>
          <w:tcPr>
            <w:tcW w:w="10937" w:type="dxa"/>
            <w:gridSpan w:val="28"/>
            <w:shd w:val="clear" w:color="auto" w:fill="99CCFF"/>
            <w:vAlign w:val="center"/>
          </w:tcPr>
          <w:p w14:paraId="49727E30" w14:textId="77777777" w:rsidR="007B1E52" w:rsidRPr="00442C01" w:rsidRDefault="007B1E52" w:rsidP="00173D72">
            <w:pPr>
              <w:numPr>
                <w:ilvl w:val="0"/>
                <w:numId w:val="1"/>
              </w:numPr>
              <w:spacing w:after="0" w:line="240" w:lineRule="auto"/>
              <w:ind w:left="318" w:hanging="284"/>
              <w:jc w:val="both"/>
              <w:rPr>
                <w:rFonts w:ascii="Times New Roman" w:eastAsia="Calibri" w:hAnsi="Times New Roman" w:cs="Times New Roman"/>
                <w:b/>
                <w:color w:val="000000"/>
              </w:rPr>
            </w:pPr>
            <w:r w:rsidRPr="00442C01">
              <w:rPr>
                <w:rFonts w:ascii="Times New Roman" w:eastAsia="Calibri" w:hAnsi="Times New Roman" w:cs="Times New Roman"/>
                <w:b/>
                <w:color w:val="000000"/>
              </w:rPr>
              <w:lastRenderedPageBreak/>
              <w:t>Podmioty, na które oddziałuje projekt</w:t>
            </w:r>
          </w:p>
        </w:tc>
      </w:tr>
      <w:tr w:rsidR="007B1E52" w:rsidRPr="00442C01" w14:paraId="703651EB" w14:textId="77777777" w:rsidTr="00442C01">
        <w:trPr>
          <w:gridAfter w:val="1"/>
          <w:wAfter w:w="10" w:type="dxa"/>
          <w:trHeight w:val="142"/>
        </w:trPr>
        <w:tc>
          <w:tcPr>
            <w:tcW w:w="2668" w:type="dxa"/>
            <w:gridSpan w:val="4"/>
            <w:shd w:val="clear" w:color="auto" w:fill="auto"/>
          </w:tcPr>
          <w:p w14:paraId="1EE6A2BA" w14:textId="77777777" w:rsidR="007B1E52" w:rsidRPr="00442C01" w:rsidRDefault="007B1E52" w:rsidP="00173D72">
            <w:pPr>
              <w:spacing w:after="0" w:line="240" w:lineRule="auto"/>
              <w:jc w:val="center"/>
              <w:rPr>
                <w:rFonts w:ascii="Times New Roman" w:eastAsia="Calibri" w:hAnsi="Times New Roman" w:cs="Times New Roman"/>
                <w:color w:val="000000"/>
                <w:spacing w:val="-2"/>
              </w:rPr>
            </w:pPr>
            <w:r w:rsidRPr="00442C01">
              <w:rPr>
                <w:rFonts w:ascii="Times New Roman" w:eastAsia="Calibri" w:hAnsi="Times New Roman" w:cs="Times New Roman"/>
                <w:color w:val="000000"/>
                <w:spacing w:val="-2"/>
              </w:rPr>
              <w:t>Grupa</w:t>
            </w:r>
          </w:p>
        </w:tc>
        <w:tc>
          <w:tcPr>
            <w:tcW w:w="2292" w:type="dxa"/>
            <w:gridSpan w:val="7"/>
            <w:shd w:val="clear" w:color="auto" w:fill="auto"/>
          </w:tcPr>
          <w:p w14:paraId="10FD74D7" w14:textId="77777777" w:rsidR="007B1E52" w:rsidRPr="00442C01" w:rsidRDefault="007B1E52" w:rsidP="00173D72">
            <w:pPr>
              <w:spacing w:after="0" w:line="240" w:lineRule="auto"/>
              <w:jc w:val="center"/>
              <w:rPr>
                <w:rFonts w:ascii="Times New Roman" w:eastAsia="Calibri" w:hAnsi="Times New Roman" w:cs="Times New Roman"/>
                <w:color w:val="000000"/>
                <w:spacing w:val="-2"/>
              </w:rPr>
            </w:pPr>
            <w:r w:rsidRPr="00442C01">
              <w:rPr>
                <w:rFonts w:ascii="Times New Roman" w:eastAsia="Calibri" w:hAnsi="Times New Roman" w:cs="Times New Roman"/>
                <w:color w:val="000000"/>
                <w:spacing w:val="-2"/>
              </w:rPr>
              <w:t>Wielkość</w:t>
            </w:r>
          </w:p>
        </w:tc>
        <w:tc>
          <w:tcPr>
            <w:tcW w:w="2554" w:type="dxa"/>
            <w:gridSpan w:val="9"/>
            <w:shd w:val="clear" w:color="auto" w:fill="auto"/>
          </w:tcPr>
          <w:p w14:paraId="66782994" w14:textId="77777777" w:rsidR="007B1E52" w:rsidRPr="00442C01" w:rsidRDefault="007B1E52" w:rsidP="00173D72">
            <w:pPr>
              <w:spacing w:after="0" w:line="240" w:lineRule="auto"/>
              <w:jc w:val="center"/>
              <w:rPr>
                <w:rFonts w:ascii="Times New Roman" w:eastAsia="Calibri" w:hAnsi="Times New Roman" w:cs="Times New Roman"/>
                <w:color w:val="000000"/>
                <w:spacing w:val="-2"/>
              </w:rPr>
            </w:pPr>
            <w:r w:rsidRPr="00442C01">
              <w:rPr>
                <w:rFonts w:ascii="Times New Roman" w:eastAsia="Calibri" w:hAnsi="Times New Roman" w:cs="Times New Roman"/>
                <w:color w:val="000000"/>
                <w:spacing w:val="-2"/>
              </w:rPr>
              <w:t>Źródło danych</w:t>
            </w:r>
            <w:r w:rsidRPr="00442C01" w:rsidDel="00260F33">
              <w:rPr>
                <w:rFonts w:ascii="Times New Roman" w:eastAsia="Calibri" w:hAnsi="Times New Roman" w:cs="Times New Roman"/>
                <w:color w:val="000000"/>
                <w:spacing w:val="-2"/>
              </w:rPr>
              <w:t xml:space="preserve"> </w:t>
            </w:r>
          </w:p>
        </w:tc>
        <w:tc>
          <w:tcPr>
            <w:tcW w:w="3423" w:type="dxa"/>
            <w:gridSpan w:val="8"/>
            <w:shd w:val="clear" w:color="auto" w:fill="auto"/>
          </w:tcPr>
          <w:p w14:paraId="2AE00BED" w14:textId="77777777" w:rsidR="007B1E52" w:rsidRPr="00442C01" w:rsidRDefault="007B1E52" w:rsidP="00173D72">
            <w:pPr>
              <w:spacing w:after="0" w:line="240" w:lineRule="auto"/>
              <w:jc w:val="center"/>
              <w:rPr>
                <w:rFonts w:ascii="Times New Roman" w:eastAsia="Calibri" w:hAnsi="Times New Roman" w:cs="Times New Roman"/>
                <w:color w:val="000000"/>
                <w:spacing w:val="-2"/>
              </w:rPr>
            </w:pPr>
            <w:r w:rsidRPr="00442C01">
              <w:rPr>
                <w:rFonts w:ascii="Times New Roman" w:eastAsia="Calibri" w:hAnsi="Times New Roman" w:cs="Times New Roman"/>
                <w:color w:val="000000"/>
                <w:spacing w:val="-2"/>
              </w:rPr>
              <w:t>Oddziaływanie</w:t>
            </w:r>
          </w:p>
        </w:tc>
      </w:tr>
      <w:tr w:rsidR="002477A9" w:rsidRPr="00442C01" w14:paraId="25EA8E31" w14:textId="77777777" w:rsidTr="00442C01">
        <w:trPr>
          <w:gridAfter w:val="1"/>
          <w:wAfter w:w="10" w:type="dxa"/>
          <w:trHeight w:val="833"/>
        </w:trPr>
        <w:tc>
          <w:tcPr>
            <w:tcW w:w="2668" w:type="dxa"/>
            <w:gridSpan w:val="4"/>
            <w:shd w:val="clear" w:color="auto" w:fill="auto"/>
            <w:vAlign w:val="center"/>
          </w:tcPr>
          <w:p w14:paraId="6EF1A7DE" w14:textId="77777777" w:rsidR="002477A9" w:rsidRPr="00442C01" w:rsidRDefault="002477A9" w:rsidP="00173D72">
            <w:pPr>
              <w:spacing w:after="0" w:line="240" w:lineRule="auto"/>
              <w:jc w:val="center"/>
              <w:rPr>
                <w:rFonts w:ascii="Times New Roman" w:eastAsia="Calibri" w:hAnsi="Times New Roman" w:cs="Times New Roman"/>
                <w:color w:val="000000"/>
                <w:spacing w:val="-2"/>
              </w:rPr>
            </w:pPr>
            <w:r w:rsidRPr="00442C01">
              <w:rPr>
                <w:rFonts w:ascii="Times New Roman" w:eastAsia="Calibri" w:hAnsi="Times New Roman" w:cs="Times New Roman"/>
                <w:color w:val="000000"/>
                <w:spacing w:val="-2"/>
              </w:rPr>
              <w:t>Świadczeniobiorcy</w:t>
            </w:r>
          </w:p>
        </w:tc>
        <w:tc>
          <w:tcPr>
            <w:tcW w:w="2292" w:type="dxa"/>
            <w:gridSpan w:val="7"/>
            <w:shd w:val="clear" w:color="auto" w:fill="auto"/>
            <w:vAlign w:val="center"/>
          </w:tcPr>
          <w:p w14:paraId="47C1E775" w14:textId="77777777" w:rsidR="002477A9" w:rsidRPr="00442C01" w:rsidRDefault="002477A9" w:rsidP="00173D72">
            <w:pPr>
              <w:autoSpaceDE w:val="0"/>
              <w:autoSpaceDN w:val="0"/>
              <w:adjustRightInd w:val="0"/>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ok. 6 500</w:t>
            </w:r>
          </w:p>
        </w:tc>
        <w:tc>
          <w:tcPr>
            <w:tcW w:w="2554" w:type="dxa"/>
            <w:gridSpan w:val="9"/>
            <w:shd w:val="clear" w:color="auto" w:fill="auto"/>
            <w:vAlign w:val="center"/>
          </w:tcPr>
          <w:p w14:paraId="74D95E6C" w14:textId="77777777" w:rsidR="002477A9" w:rsidRPr="00442C01" w:rsidRDefault="002477A9" w:rsidP="00173D72">
            <w:pPr>
              <w:spacing w:after="0" w:line="240" w:lineRule="auto"/>
              <w:jc w:val="center"/>
              <w:rPr>
                <w:rFonts w:ascii="Times New Roman" w:eastAsia="Calibri" w:hAnsi="Times New Roman" w:cs="Times New Roman"/>
                <w:color w:val="000000"/>
                <w:spacing w:val="-2"/>
              </w:rPr>
            </w:pPr>
            <w:r>
              <w:rPr>
                <w:rFonts w:ascii="Times New Roman" w:eastAsia="Calibri" w:hAnsi="Times New Roman" w:cs="Times New Roman"/>
                <w:color w:val="000000"/>
                <w:spacing w:val="-2"/>
              </w:rPr>
              <w:t xml:space="preserve">Agencja Oceny Technologii Medycznych i Taryfikacji </w:t>
            </w:r>
          </w:p>
        </w:tc>
        <w:tc>
          <w:tcPr>
            <w:tcW w:w="3423" w:type="dxa"/>
            <w:gridSpan w:val="8"/>
            <w:shd w:val="clear" w:color="auto" w:fill="auto"/>
            <w:vAlign w:val="center"/>
          </w:tcPr>
          <w:p w14:paraId="52085D27" w14:textId="77777777" w:rsidR="002477A9" w:rsidRPr="00442C01" w:rsidRDefault="002477A9" w:rsidP="00173D72">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 xml:space="preserve">Poprawa diagnostyki i leczenia pacjentów z cukrzycą, chorobą Parkinsona, nowotworami układu neuroendokrynnego, </w:t>
            </w:r>
          </w:p>
        </w:tc>
      </w:tr>
      <w:tr w:rsidR="002477A9" w:rsidRPr="00442C01" w14:paraId="2D6435E8" w14:textId="77777777" w:rsidTr="00442C01">
        <w:trPr>
          <w:gridAfter w:val="1"/>
          <w:wAfter w:w="10" w:type="dxa"/>
          <w:trHeight w:val="833"/>
        </w:trPr>
        <w:tc>
          <w:tcPr>
            <w:tcW w:w="2668" w:type="dxa"/>
            <w:gridSpan w:val="4"/>
            <w:shd w:val="clear" w:color="auto" w:fill="auto"/>
            <w:vAlign w:val="center"/>
          </w:tcPr>
          <w:p w14:paraId="325DAC4B" w14:textId="77777777" w:rsidR="002477A9" w:rsidRPr="00442C01" w:rsidRDefault="002477A9" w:rsidP="00173D72">
            <w:pPr>
              <w:spacing w:after="0" w:line="240" w:lineRule="auto"/>
              <w:jc w:val="center"/>
              <w:rPr>
                <w:rFonts w:ascii="Times New Roman" w:eastAsia="Calibri" w:hAnsi="Times New Roman" w:cs="Times New Roman"/>
                <w:color w:val="000000"/>
                <w:spacing w:val="-2"/>
              </w:rPr>
            </w:pPr>
            <w:r w:rsidRPr="00442C01">
              <w:rPr>
                <w:rFonts w:ascii="Times New Roman" w:eastAsia="Calibri" w:hAnsi="Times New Roman" w:cs="Times New Roman"/>
                <w:color w:val="000000"/>
                <w:spacing w:val="-2"/>
              </w:rPr>
              <w:t>Świadczeniodawcy</w:t>
            </w:r>
          </w:p>
        </w:tc>
        <w:tc>
          <w:tcPr>
            <w:tcW w:w="2292" w:type="dxa"/>
            <w:gridSpan w:val="7"/>
            <w:shd w:val="clear" w:color="auto" w:fill="auto"/>
            <w:vAlign w:val="center"/>
          </w:tcPr>
          <w:p w14:paraId="4EA77F74" w14:textId="77777777" w:rsidR="002477A9" w:rsidRPr="00442C01" w:rsidRDefault="002477A9" w:rsidP="00173D72">
            <w:pPr>
              <w:autoSpaceDE w:val="0"/>
              <w:autoSpaceDN w:val="0"/>
              <w:adjustRightInd w:val="0"/>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ok. 6 000</w:t>
            </w:r>
          </w:p>
        </w:tc>
        <w:tc>
          <w:tcPr>
            <w:tcW w:w="2554" w:type="dxa"/>
            <w:gridSpan w:val="9"/>
            <w:shd w:val="clear" w:color="auto" w:fill="auto"/>
            <w:vAlign w:val="center"/>
          </w:tcPr>
          <w:p w14:paraId="0AD1668D" w14:textId="77777777" w:rsidR="002477A9" w:rsidRPr="00442C01" w:rsidRDefault="002477A9" w:rsidP="00173D72">
            <w:pPr>
              <w:spacing w:after="0" w:line="240" w:lineRule="auto"/>
              <w:jc w:val="center"/>
              <w:rPr>
                <w:rFonts w:ascii="Times New Roman" w:eastAsia="Calibri" w:hAnsi="Times New Roman" w:cs="Times New Roman"/>
                <w:color w:val="000000"/>
                <w:spacing w:val="-2"/>
              </w:rPr>
            </w:pPr>
            <w:r>
              <w:rPr>
                <w:rFonts w:ascii="Times New Roman" w:eastAsia="Calibri" w:hAnsi="Times New Roman" w:cs="Times New Roman"/>
                <w:color w:val="000000"/>
                <w:spacing w:val="-2"/>
              </w:rPr>
              <w:t>Narodowy Fundusz Zdrowia</w:t>
            </w:r>
          </w:p>
        </w:tc>
        <w:tc>
          <w:tcPr>
            <w:tcW w:w="3423" w:type="dxa"/>
            <w:gridSpan w:val="8"/>
            <w:shd w:val="clear" w:color="auto" w:fill="auto"/>
            <w:vAlign w:val="center"/>
          </w:tcPr>
          <w:p w14:paraId="1E57E7CC" w14:textId="77777777" w:rsidR="002477A9" w:rsidRPr="00442C01" w:rsidRDefault="002477A9" w:rsidP="00173D72">
            <w:pPr>
              <w:suppressAutoHyphens/>
              <w:autoSpaceDE w:val="0"/>
              <w:autoSpaceDN w:val="0"/>
              <w:adjustRightInd w:val="0"/>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Zwiększenie dostępu do metod diagnostycznych i terapeutycznych. Zwiększenie </w:t>
            </w:r>
            <w:r>
              <w:rPr>
                <w:rFonts w:ascii="Times New Roman" w:eastAsia="Calibri" w:hAnsi="Times New Roman" w:cs="Times New Roman"/>
              </w:rPr>
              <w:t>kompetencji personelu medycznego w zakresie stosowania nowych metod diagnostycznych i terapeutycznych.</w:t>
            </w:r>
          </w:p>
        </w:tc>
      </w:tr>
      <w:tr w:rsidR="002477A9" w:rsidRPr="00442C01" w14:paraId="34CECEE3" w14:textId="77777777" w:rsidTr="00442C01">
        <w:trPr>
          <w:gridAfter w:val="1"/>
          <w:wAfter w:w="10" w:type="dxa"/>
          <w:trHeight w:val="302"/>
        </w:trPr>
        <w:tc>
          <w:tcPr>
            <w:tcW w:w="10937" w:type="dxa"/>
            <w:gridSpan w:val="28"/>
            <w:shd w:val="clear" w:color="auto" w:fill="99CCFF"/>
            <w:vAlign w:val="center"/>
          </w:tcPr>
          <w:p w14:paraId="7874D2FB" w14:textId="77777777" w:rsidR="002477A9" w:rsidRPr="00442C01" w:rsidRDefault="002477A9" w:rsidP="00173D72">
            <w:pPr>
              <w:numPr>
                <w:ilvl w:val="0"/>
                <w:numId w:val="1"/>
              </w:numPr>
              <w:spacing w:after="0" w:line="240" w:lineRule="auto"/>
              <w:ind w:left="318" w:hanging="284"/>
              <w:jc w:val="both"/>
              <w:rPr>
                <w:rFonts w:ascii="Times New Roman" w:eastAsia="Calibri" w:hAnsi="Times New Roman" w:cs="Times New Roman"/>
                <w:b/>
                <w:color w:val="000000"/>
              </w:rPr>
            </w:pPr>
            <w:r w:rsidRPr="00442C01">
              <w:rPr>
                <w:rFonts w:ascii="Times New Roman" w:eastAsia="Calibri" w:hAnsi="Times New Roman" w:cs="Times New Roman"/>
                <w:b/>
                <w:color w:val="000000"/>
              </w:rPr>
              <w:t>Informacje na temat zakresu, czasu trwania i podsumowanie wyników konsultacji</w:t>
            </w:r>
          </w:p>
        </w:tc>
      </w:tr>
      <w:tr w:rsidR="002477A9" w:rsidRPr="00442C01" w14:paraId="410F625B" w14:textId="77777777" w:rsidTr="00442C01">
        <w:trPr>
          <w:gridAfter w:val="1"/>
          <w:wAfter w:w="10" w:type="dxa"/>
          <w:trHeight w:val="562"/>
        </w:trPr>
        <w:tc>
          <w:tcPr>
            <w:tcW w:w="10937" w:type="dxa"/>
            <w:gridSpan w:val="28"/>
            <w:shd w:val="clear" w:color="auto" w:fill="FFFFFF"/>
          </w:tcPr>
          <w:p w14:paraId="2DD9C649" w14:textId="77777777" w:rsidR="007E4745" w:rsidRPr="0010032A" w:rsidRDefault="007E4745" w:rsidP="007E4745">
            <w:pPr>
              <w:spacing w:before="120" w:after="120"/>
              <w:jc w:val="both"/>
              <w:rPr>
                <w:rFonts w:ascii="Times New Roman" w:eastAsia="Calibri" w:hAnsi="Times New Roman" w:cs="Times New Roman"/>
                <w:color w:val="000000"/>
                <w:shd w:val="clear" w:color="auto" w:fill="FFFFFF"/>
              </w:rPr>
            </w:pPr>
            <w:r w:rsidRPr="0010032A">
              <w:rPr>
                <w:rFonts w:ascii="Times New Roman" w:eastAsia="Calibri" w:hAnsi="Times New Roman" w:cs="Times New Roman"/>
                <w:color w:val="000000"/>
                <w:shd w:val="clear" w:color="auto" w:fill="FFFFFF"/>
              </w:rPr>
              <w:t xml:space="preserve">Projekt rozporządzenia nie był przedmiotem </w:t>
            </w:r>
            <w:proofErr w:type="spellStart"/>
            <w:r w:rsidRPr="0010032A">
              <w:rPr>
                <w:rFonts w:ascii="Times New Roman" w:eastAsia="Calibri" w:hAnsi="Times New Roman" w:cs="Times New Roman"/>
                <w:color w:val="000000"/>
                <w:shd w:val="clear" w:color="auto" w:fill="FFFFFF"/>
              </w:rPr>
              <w:t>pre</w:t>
            </w:r>
            <w:proofErr w:type="spellEnd"/>
            <w:r w:rsidRPr="0010032A">
              <w:rPr>
                <w:rFonts w:ascii="Times New Roman" w:eastAsia="Calibri" w:hAnsi="Times New Roman" w:cs="Times New Roman"/>
                <w:color w:val="000000"/>
                <w:shd w:val="clear" w:color="auto" w:fill="FFFFFF"/>
              </w:rPr>
              <w:t>-konsultacji.</w:t>
            </w:r>
          </w:p>
          <w:p w14:paraId="1698AF72" w14:textId="77777777" w:rsidR="007E4745" w:rsidRPr="0010032A" w:rsidRDefault="007E4745" w:rsidP="007E4745">
            <w:pPr>
              <w:spacing w:before="120" w:after="120"/>
              <w:jc w:val="both"/>
              <w:rPr>
                <w:rFonts w:ascii="Times New Roman" w:eastAsia="Calibri" w:hAnsi="Times New Roman" w:cs="Times New Roman"/>
                <w:color w:val="000000"/>
                <w:shd w:val="clear" w:color="auto" w:fill="FFFFFF"/>
              </w:rPr>
            </w:pPr>
            <w:r w:rsidRPr="0010032A">
              <w:rPr>
                <w:rFonts w:ascii="Times New Roman" w:eastAsia="Calibri" w:hAnsi="Times New Roman" w:cs="Times New Roman"/>
                <w:color w:val="000000"/>
                <w:shd w:val="clear" w:color="auto" w:fill="FFFFFF"/>
              </w:rPr>
              <w:t xml:space="preserve">Konsultacje publiczne będą przeprowadzone w okresie 21 dni. </w:t>
            </w:r>
            <w:r>
              <w:rPr>
                <w:rFonts w:ascii="Times New Roman" w:hAnsi="Times New Roman"/>
                <w:color w:val="0D0D0D"/>
              </w:rPr>
              <w:t xml:space="preserve">Skrócenie terminu konsultacji jest podyktowane </w:t>
            </w:r>
            <w:r w:rsidRPr="00525FDC">
              <w:rPr>
                <w:rFonts w:ascii="Times New Roman" w:hAnsi="Times New Roman"/>
                <w:color w:val="0D0D0D"/>
              </w:rPr>
              <w:t>koniecznością zapewnienia świadczeniobiorcom możliwie najlepszej jakości oraz dostępności do świadczeń</w:t>
            </w:r>
            <w:r>
              <w:rPr>
                <w:rFonts w:ascii="Times New Roman" w:hAnsi="Times New Roman"/>
                <w:color w:val="0D0D0D"/>
              </w:rPr>
              <w:t xml:space="preserve"> gwarantowanych oraz wdrożeniem przedmiotowych zmian w terminie 1 kwietnia 2018 r.</w:t>
            </w:r>
          </w:p>
          <w:p w14:paraId="7A8F627B" w14:textId="77777777" w:rsidR="007E4745" w:rsidRDefault="007E4745" w:rsidP="007E4745">
            <w:pPr>
              <w:spacing w:before="120" w:after="120"/>
              <w:jc w:val="both"/>
              <w:rPr>
                <w:rFonts w:ascii="Times New Roman" w:eastAsia="Calibri" w:hAnsi="Times New Roman" w:cs="Times New Roman"/>
                <w:color w:val="000000"/>
                <w:shd w:val="clear" w:color="auto" w:fill="FFFFFF"/>
              </w:rPr>
            </w:pPr>
            <w:r w:rsidRPr="0010032A">
              <w:rPr>
                <w:rFonts w:ascii="Times New Roman" w:eastAsia="Calibri" w:hAnsi="Times New Roman" w:cs="Times New Roman"/>
                <w:color w:val="000000"/>
                <w:shd w:val="clear" w:color="auto" w:fill="FFFFFF"/>
              </w:rPr>
              <w:t>W ramach konsultacji publicznych i opiniowania projekt zosta</w:t>
            </w:r>
            <w:r>
              <w:rPr>
                <w:rFonts w:ascii="Times New Roman" w:eastAsia="Calibri" w:hAnsi="Times New Roman" w:cs="Times New Roman"/>
                <w:color w:val="000000"/>
                <w:shd w:val="clear" w:color="auto" w:fill="FFFFFF"/>
              </w:rPr>
              <w:t>ł</w:t>
            </w:r>
            <w:r w:rsidRPr="0010032A">
              <w:rPr>
                <w:rFonts w:ascii="Times New Roman" w:eastAsia="Calibri" w:hAnsi="Times New Roman" w:cs="Times New Roman"/>
                <w:color w:val="000000"/>
                <w:shd w:val="clear" w:color="auto" w:fill="FFFFFF"/>
              </w:rPr>
              <w:t xml:space="preserve"> przesłany do zaopiniowania przez następujące podmioty:</w:t>
            </w:r>
          </w:p>
          <w:p w14:paraId="69C2001E" w14:textId="77777777" w:rsidR="007E4745" w:rsidRPr="00D07385" w:rsidRDefault="007E4745" w:rsidP="007E4745">
            <w:pPr>
              <w:spacing w:before="120" w:after="120"/>
              <w:jc w:val="both"/>
              <w:rPr>
                <w:rFonts w:ascii="Times New Roman" w:eastAsia="Calibri" w:hAnsi="Times New Roman" w:cs="Times New Roman"/>
                <w:color w:val="000000"/>
                <w:shd w:val="clear" w:color="auto" w:fill="FFFFFF"/>
              </w:rPr>
            </w:pPr>
            <w:r w:rsidRPr="00D07385">
              <w:rPr>
                <w:rFonts w:ascii="Times New Roman" w:eastAsia="Calibri" w:hAnsi="Times New Roman" w:cs="Times New Roman"/>
                <w:color w:val="000000"/>
                <w:shd w:val="clear" w:color="auto" w:fill="FFFFFF"/>
              </w:rPr>
              <w:t>a) konsultantami krajowymi w wybranych dziedzinach medycyny,</w:t>
            </w:r>
          </w:p>
          <w:p w14:paraId="528B6D6B" w14:textId="77777777" w:rsidR="007E4745" w:rsidRDefault="007E4745" w:rsidP="007E4745">
            <w:pPr>
              <w:spacing w:before="120" w:after="120"/>
              <w:jc w:val="both"/>
              <w:rPr>
                <w:rFonts w:ascii="Times New Roman" w:eastAsia="Calibri" w:hAnsi="Times New Roman" w:cs="Times New Roman"/>
                <w:color w:val="000000"/>
                <w:shd w:val="clear" w:color="auto" w:fill="FFFFFF"/>
              </w:rPr>
            </w:pPr>
            <w:r w:rsidRPr="00D07385">
              <w:rPr>
                <w:rFonts w:ascii="Times New Roman" w:eastAsia="Calibri" w:hAnsi="Times New Roman" w:cs="Times New Roman"/>
                <w:color w:val="000000"/>
                <w:shd w:val="clear" w:color="auto" w:fill="FFFFFF"/>
              </w:rPr>
              <w:t>b)</w:t>
            </w:r>
            <w:r>
              <w:rPr>
                <w:rFonts w:ascii="Times New Roman" w:eastAsia="Calibri" w:hAnsi="Times New Roman" w:cs="Times New Roman"/>
                <w:color w:val="000000"/>
                <w:shd w:val="clear" w:color="auto" w:fill="FFFFFF"/>
              </w:rPr>
              <w:t xml:space="preserve"> </w:t>
            </w:r>
            <w:r w:rsidRPr="00D07385">
              <w:rPr>
                <w:rFonts w:ascii="Times New Roman" w:eastAsia="Calibri" w:hAnsi="Times New Roman" w:cs="Times New Roman"/>
                <w:color w:val="000000"/>
                <w:shd w:val="clear" w:color="auto" w:fill="FFFFFF"/>
              </w:rPr>
              <w:t xml:space="preserve">samorządami zawodowymi (Naczelna Rada Lekarska, Naczelna Rada Aptekarska, Naczelna Rada Pielęgniarek i Położnych, Krajowa </w:t>
            </w:r>
            <w:r>
              <w:rPr>
                <w:rFonts w:ascii="Times New Roman" w:eastAsia="Calibri" w:hAnsi="Times New Roman" w:cs="Times New Roman"/>
                <w:color w:val="000000"/>
                <w:shd w:val="clear" w:color="auto" w:fill="FFFFFF"/>
              </w:rPr>
              <w:t>Izba</w:t>
            </w:r>
            <w:r w:rsidRPr="00D07385">
              <w:rPr>
                <w:rFonts w:ascii="Times New Roman" w:eastAsia="Calibri" w:hAnsi="Times New Roman" w:cs="Times New Roman"/>
                <w:color w:val="000000"/>
                <w:shd w:val="clear" w:color="auto" w:fill="FFFFFF"/>
              </w:rPr>
              <w:t xml:space="preserve"> Diagnostów Laboratoryjnych</w:t>
            </w:r>
            <w:r>
              <w:rPr>
                <w:rFonts w:ascii="Times New Roman" w:eastAsia="Calibri" w:hAnsi="Times New Roman" w:cs="Times New Roman"/>
                <w:color w:val="000000"/>
                <w:shd w:val="clear" w:color="auto" w:fill="FFFFFF"/>
              </w:rPr>
              <w:t>, Krajowa Izba Fizjoterapeutów</w:t>
            </w:r>
            <w:r w:rsidRPr="00D07385">
              <w:rPr>
                <w:rFonts w:ascii="Times New Roman" w:eastAsia="Calibri" w:hAnsi="Times New Roman" w:cs="Times New Roman"/>
                <w:color w:val="000000"/>
                <w:shd w:val="clear" w:color="auto" w:fill="FFFFFF"/>
              </w:rPr>
              <w:t>),</w:t>
            </w:r>
          </w:p>
          <w:p w14:paraId="49F178A3" w14:textId="77777777" w:rsidR="007E4745" w:rsidRDefault="007E4745" w:rsidP="007E4745">
            <w:pPr>
              <w:spacing w:before="120" w:after="120"/>
              <w:jc w:val="both"/>
              <w:rPr>
                <w:rFonts w:ascii="Times New Roman" w:eastAsia="Calibri" w:hAnsi="Times New Roman" w:cs="Times New Roman"/>
                <w:color w:val="000000"/>
                <w:shd w:val="clear" w:color="auto" w:fill="FFFFFF"/>
              </w:rPr>
            </w:pPr>
            <w:r w:rsidRPr="00D07385">
              <w:rPr>
                <w:rFonts w:ascii="Times New Roman" w:eastAsia="Calibri" w:hAnsi="Times New Roman" w:cs="Times New Roman"/>
                <w:color w:val="000000"/>
                <w:shd w:val="clear" w:color="auto" w:fill="FFFFFF"/>
              </w:rPr>
              <w:t>c)</w:t>
            </w:r>
            <w:r>
              <w:rPr>
                <w:rFonts w:ascii="Times New Roman" w:eastAsia="Calibri" w:hAnsi="Times New Roman" w:cs="Times New Roman"/>
                <w:color w:val="000000"/>
                <w:shd w:val="clear" w:color="auto" w:fill="FFFFFF"/>
              </w:rPr>
              <w:t xml:space="preserve"> </w:t>
            </w:r>
            <w:r w:rsidRPr="00D07385">
              <w:rPr>
                <w:rFonts w:ascii="Times New Roman" w:eastAsia="Calibri" w:hAnsi="Times New Roman" w:cs="Times New Roman"/>
                <w:color w:val="000000"/>
                <w:shd w:val="clear" w:color="auto" w:fill="FFFFFF"/>
              </w:rPr>
              <w:t>związkami zawodowymi oraz stowarzyszeniami reprezentującymi zawody medyczne (tj.: Ogólnopolskie Porozumienie Związków Zawodowych, Ogólnopolski Związek Zawodowy Lekarzy, Ogólnopolski Związek Zawodowy Pielęgniarek i Położnych, Ogólnopolski Związek Zawodowy Położnych, Ogólnopolski Związek Zawodowy Lekarzy Radiologów, Krajowy Sekretariat Oc</w:t>
            </w:r>
            <w:r>
              <w:rPr>
                <w:rFonts w:ascii="Times New Roman" w:eastAsia="Calibri" w:hAnsi="Times New Roman" w:cs="Times New Roman"/>
                <w:color w:val="000000"/>
                <w:shd w:val="clear" w:color="auto" w:fill="FFFFFF"/>
              </w:rPr>
              <w:t>hrony Zdrowia NSZZ „Solidarność</w:t>
            </w:r>
            <w:r w:rsidRPr="00D07385">
              <w:rPr>
                <w:rFonts w:ascii="Times New Roman" w:eastAsia="Calibri" w:hAnsi="Times New Roman" w:cs="Times New Roman"/>
                <w:color w:val="000000"/>
                <w:shd w:val="clear" w:color="auto" w:fill="FFFFFF"/>
              </w:rPr>
              <w:t xml:space="preserve">”, Federacja Związków Zawodowych Pracowników Ochrony Zdrowia i Pomocy Społecznej, Biuro Komisji Krajowej NSZZ „Solidarność”, Krajowy Sekretariat Ochrony Zdrowia NZZZ „Solidarność 80”, Forum Związków Zawodowych, Ogólnopolski Związek Zawodowy Techników Medycznych Radioterapii, Ogólnopolski Związek Zawodowy Techników Medycznych „Medyk”, Ogólnopolski Związek Zawodowy Techników Medycznych </w:t>
            </w:r>
            <w:proofErr w:type="spellStart"/>
            <w:r w:rsidRPr="00D07385">
              <w:rPr>
                <w:rFonts w:ascii="Times New Roman" w:eastAsia="Calibri" w:hAnsi="Times New Roman" w:cs="Times New Roman"/>
                <w:color w:val="000000"/>
                <w:shd w:val="clear" w:color="auto" w:fill="FFFFFF"/>
              </w:rPr>
              <w:t>Elektroradiologii</w:t>
            </w:r>
            <w:proofErr w:type="spellEnd"/>
            <w:r w:rsidRPr="00D07385">
              <w:rPr>
                <w:rFonts w:ascii="Times New Roman" w:eastAsia="Calibri" w:hAnsi="Times New Roman" w:cs="Times New Roman"/>
                <w:color w:val="000000"/>
                <w:shd w:val="clear" w:color="auto" w:fill="FFFFFF"/>
              </w:rPr>
              <w:t xml:space="preserve">, Ogólnopolski Związek Zawodowy Pracowników Bloku Operacyjnego, </w:t>
            </w:r>
            <w:r w:rsidRPr="00D07385">
              <w:rPr>
                <w:rFonts w:ascii="Times New Roman" w:eastAsia="Calibri" w:hAnsi="Times New Roman" w:cs="Times New Roman"/>
                <w:color w:val="000000"/>
                <w:shd w:val="clear" w:color="auto" w:fill="FFFFFF"/>
              </w:rPr>
              <w:lastRenderedPageBreak/>
              <w:t>Anestezjologii i Intensywnej Terapii, Związek Zawodowy Anestezjologów, Związek Zawodowy Chirurgów Polskich, Związek Zawodowy Neonatologów, Związek Zawodowy Lekarzy Specjalności Chirurgicznych, Ogólnopolski Związek Zawodowy Pracowników Fizjoterapii, Krajowy Związek Zawodowy Pracowników Medycznych Laboratoriów Diagnostycznych, Kolegium Lekarzy Rodzinnych, Kolegium Pielęgniarek i Położnych w Polsce, Izba Lecznictwa Polskiego</w:t>
            </w:r>
            <w:r>
              <w:rPr>
                <w:rFonts w:ascii="Times New Roman" w:eastAsia="Calibri" w:hAnsi="Times New Roman" w:cs="Times New Roman"/>
                <w:color w:val="000000"/>
                <w:shd w:val="clear" w:color="auto" w:fill="FFFFFF"/>
              </w:rPr>
              <w:t xml:space="preserve">, </w:t>
            </w:r>
            <w:r w:rsidRPr="00D07385">
              <w:rPr>
                <w:rFonts w:ascii="Times New Roman" w:eastAsia="Calibri" w:hAnsi="Times New Roman" w:cs="Times New Roman"/>
                <w:color w:val="000000"/>
                <w:shd w:val="clear" w:color="auto" w:fill="FFFFFF"/>
              </w:rPr>
              <w:t>Ogólnopolska Konfederacja Związków Zawodowych Pracowników Ochrony Zdrowia</w:t>
            </w:r>
            <w:r>
              <w:rPr>
                <w:rFonts w:ascii="Times New Roman" w:eastAsia="Calibri" w:hAnsi="Times New Roman" w:cs="Times New Roman"/>
                <w:color w:val="000000"/>
                <w:shd w:val="clear" w:color="auto" w:fill="FFFFFF"/>
              </w:rPr>
              <w:t xml:space="preserve">, </w:t>
            </w:r>
            <w:r w:rsidRPr="0010032A">
              <w:rPr>
                <w:rFonts w:ascii="Times New Roman" w:eastAsia="Calibri" w:hAnsi="Times New Roman" w:cs="Times New Roman"/>
                <w:color w:val="000000"/>
                <w:shd w:val="clear" w:color="auto" w:fill="FFFFFF"/>
              </w:rPr>
              <w:t>Sekretariat Ochrony Zdrowia KK NSZZ „Solidarność”,</w:t>
            </w:r>
            <w:r w:rsidRPr="00D07385">
              <w:rPr>
                <w:rFonts w:ascii="Times New Roman" w:eastAsia="Calibri" w:hAnsi="Times New Roman" w:cs="Times New Roman"/>
                <w:color w:val="000000"/>
                <w:shd w:val="clear" w:color="auto" w:fill="FFFFFF"/>
              </w:rPr>
              <w:t>),</w:t>
            </w:r>
          </w:p>
          <w:p w14:paraId="4FADEC17" w14:textId="77777777" w:rsidR="007E4745" w:rsidRPr="007E4745" w:rsidRDefault="007E4745" w:rsidP="007E4745">
            <w:pPr>
              <w:spacing w:before="120" w:after="120"/>
              <w:jc w:val="both"/>
              <w:rPr>
                <w:rFonts w:ascii="Times New Roman" w:eastAsia="Calibri" w:hAnsi="Times New Roman" w:cs="Times New Roman"/>
                <w:color w:val="000000"/>
                <w:shd w:val="clear" w:color="auto" w:fill="FFFFFF"/>
              </w:rPr>
            </w:pPr>
            <w:r w:rsidRPr="00D07385">
              <w:rPr>
                <w:rFonts w:ascii="Times New Roman" w:eastAsia="Calibri" w:hAnsi="Times New Roman" w:cs="Times New Roman"/>
                <w:color w:val="000000"/>
                <w:shd w:val="clear" w:color="auto" w:fill="FFFFFF"/>
              </w:rPr>
              <w:t>d)</w:t>
            </w:r>
            <w:r>
              <w:rPr>
                <w:rFonts w:ascii="Times New Roman" w:eastAsia="Calibri" w:hAnsi="Times New Roman" w:cs="Times New Roman"/>
                <w:color w:val="000000"/>
                <w:shd w:val="clear" w:color="auto" w:fill="FFFFFF"/>
              </w:rPr>
              <w:t xml:space="preserve"> </w:t>
            </w:r>
            <w:r w:rsidRPr="00D07385">
              <w:rPr>
                <w:rFonts w:ascii="Times New Roman" w:eastAsia="Calibri" w:hAnsi="Times New Roman" w:cs="Times New Roman"/>
                <w:color w:val="000000"/>
                <w:shd w:val="clear" w:color="auto" w:fill="FFFFFF"/>
              </w:rPr>
              <w:t xml:space="preserve">stowarzyszeniami w ochronie zdrowia, w tym z tymi działającymi na rzecz pacjentów (tj.: Stowarzyszenie Magistrów i Techników Farmacji, Stowarzyszenie Menedżerów Ochrony Zdrowia, Stowarzyszenie </w:t>
            </w:r>
            <w:proofErr w:type="spellStart"/>
            <w:r w:rsidRPr="00D07385">
              <w:rPr>
                <w:rFonts w:ascii="Times New Roman" w:eastAsia="Calibri" w:hAnsi="Times New Roman" w:cs="Times New Roman"/>
                <w:color w:val="000000"/>
                <w:shd w:val="clear" w:color="auto" w:fill="FFFFFF"/>
              </w:rPr>
              <w:t>Primum</w:t>
            </w:r>
            <w:proofErr w:type="spellEnd"/>
            <w:r w:rsidRPr="00D07385">
              <w:rPr>
                <w:rFonts w:ascii="Times New Roman" w:eastAsia="Calibri" w:hAnsi="Times New Roman" w:cs="Times New Roman"/>
                <w:color w:val="000000"/>
                <w:shd w:val="clear" w:color="auto" w:fill="FFFFFF"/>
              </w:rPr>
              <w:t xml:space="preserve"> Non </w:t>
            </w:r>
            <w:proofErr w:type="spellStart"/>
            <w:r w:rsidRPr="00D07385">
              <w:rPr>
                <w:rFonts w:ascii="Times New Roman" w:eastAsia="Calibri" w:hAnsi="Times New Roman" w:cs="Times New Roman"/>
                <w:color w:val="000000"/>
                <w:shd w:val="clear" w:color="auto" w:fill="FFFFFF"/>
              </w:rPr>
              <w:t>Nocere</w:t>
            </w:r>
            <w:proofErr w:type="spellEnd"/>
            <w:r w:rsidRPr="00D07385">
              <w:rPr>
                <w:rFonts w:ascii="Times New Roman" w:eastAsia="Calibri" w:hAnsi="Times New Roman" w:cs="Times New Roman"/>
                <w:color w:val="000000"/>
                <w:shd w:val="clear" w:color="auto" w:fill="FFFFFF"/>
              </w:rPr>
              <w:t>, Stowarzyszenie Unia Uzdrowisk Polskich, Federacja Pacjentów Polskich, Instytut Praw Pacjenta i Edukacji Zdrowotnej</w:t>
            </w:r>
            <w:r>
              <w:rPr>
                <w:rFonts w:ascii="Times New Roman" w:eastAsia="Calibri" w:hAnsi="Times New Roman" w:cs="Times New Roman"/>
                <w:color w:val="000000"/>
                <w:shd w:val="clear" w:color="auto" w:fill="FFFFFF"/>
              </w:rPr>
              <w:t>, Obywatelskie Stowarzyszenie –</w:t>
            </w:r>
            <w:r w:rsidRPr="0010032A">
              <w:rPr>
                <w:rFonts w:ascii="Times New Roman" w:eastAsia="Calibri" w:hAnsi="Times New Roman" w:cs="Times New Roman"/>
                <w:color w:val="000000"/>
                <w:shd w:val="clear" w:color="auto" w:fill="FFFFFF"/>
              </w:rPr>
              <w:t xml:space="preserve"> Dla Dobra Pacjenta</w:t>
            </w:r>
            <w:r>
              <w:rPr>
                <w:rFonts w:ascii="Times New Roman" w:eastAsia="Calibri" w:hAnsi="Times New Roman" w:cs="Times New Roman"/>
                <w:color w:val="000000"/>
                <w:shd w:val="clear" w:color="auto" w:fill="FFFFFF"/>
              </w:rPr>
              <w:t xml:space="preserve">, Polskie Towarzystwo </w:t>
            </w:r>
            <w:proofErr w:type="spellStart"/>
            <w:r>
              <w:rPr>
                <w:rFonts w:ascii="Times New Roman" w:eastAsia="Calibri" w:hAnsi="Times New Roman" w:cs="Times New Roman"/>
                <w:color w:val="000000"/>
                <w:shd w:val="clear" w:color="auto" w:fill="FFFFFF"/>
              </w:rPr>
              <w:t>Farmakoekonomiczne</w:t>
            </w:r>
            <w:proofErr w:type="spellEnd"/>
            <w:r>
              <w:rPr>
                <w:rFonts w:ascii="Times New Roman" w:eastAsia="Calibri" w:hAnsi="Times New Roman" w:cs="Times New Roman"/>
                <w:color w:val="000000"/>
                <w:shd w:val="clear" w:color="auto" w:fill="FFFFFF"/>
              </w:rPr>
              <w:t xml:space="preserve">, </w:t>
            </w:r>
            <w:r w:rsidRPr="00371E0B">
              <w:rPr>
                <w:rFonts w:ascii="Times New Roman" w:eastAsia="Calibri" w:hAnsi="Times New Roman" w:cs="Times New Roman"/>
                <w:color w:val="000000"/>
                <w:shd w:val="clear" w:color="auto" w:fill="FFFFFF"/>
              </w:rPr>
              <w:t>Polskie</w:t>
            </w:r>
            <w:r>
              <w:rPr>
                <w:rFonts w:ascii="Times New Roman" w:eastAsia="Calibri" w:hAnsi="Times New Roman" w:cs="Times New Roman"/>
                <w:color w:val="000000"/>
                <w:shd w:val="clear" w:color="auto" w:fill="FFFFFF"/>
              </w:rPr>
              <w:t xml:space="preserve"> </w:t>
            </w:r>
            <w:r w:rsidRPr="00371E0B">
              <w:rPr>
                <w:rFonts w:ascii="Times New Roman" w:eastAsia="Calibri" w:hAnsi="Times New Roman" w:cs="Times New Roman"/>
                <w:color w:val="000000"/>
                <w:shd w:val="clear" w:color="auto" w:fill="FFFFFF"/>
              </w:rPr>
              <w:t>Towarzystwo</w:t>
            </w:r>
            <w:r>
              <w:rPr>
                <w:rFonts w:ascii="Times New Roman" w:eastAsia="Calibri" w:hAnsi="Times New Roman" w:cs="Times New Roman"/>
                <w:color w:val="000000"/>
                <w:shd w:val="clear" w:color="auto" w:fill="FFFFFF"/>
              </w:rPr>
              <w:t xml:space="preserve"> </w:t>
            </w:r>
            <w:r w:rsidRPr="00371E0B">
              <w:rPr>
                <w:rFonts w:ascii="Times New Roman" w:eastAsia="Calibri" w:hAnsi="Times New Roman" w:cs="Times New Roman"/>
                <w:color w:val="000000"/>
                <w:shd w:val="clear" w:color="auto" w:fill="FFFFFF"/>
              </w:rPr>
              <w:t>Koderów</w:t>
            </w:r>
            <w:r>
              <w:rPr>
                <w:rFonts w:ascii="Times New Roman" w:eastAsia="Calibri" w:hAnsi="Times New Roman" w:cs="Times New Roman"/>
                <w:color w:val="000000"/>
                <w:shd w:val="clear" w:color="auto" w:fill="FFFFFF"/>
              </w:rPr>
              <w:t xml:space="preserve"> </w:t>
            </w:r>
            <w:r w:rsidRPr="007E4745">
              <w:rPr>
                <w:rFonts w:ascii="Times New Roman" w:eastAsia="Calibri" w:hAnsi="Times New Roman" w:cs="Times New Roman"/>
                <w:color w:val="000000"/>
                <w:shd w:val="clear" w:color="auto" w:fill="FFFFFF"/>
              </w:rPr>
              <w:t xml:space="preserve">Medycznych), </w:t>
            </w:r>
          </w:p>
          <w:p w14:paraId="5E471741" w14:textId="5125CE7B" w:rsidR="007E4745" w:rsidRPr="007E4745" w:rsidRDefault="007E4745" w:rsidP="007E4745">
            <w:pPr>
              <w:pStyle w:val="Teksttreci41"/>
              <w:numPr>
                <w:ilvl w:val="0"/>
                <w:numId w:val="3"/>
              </w:numPr>
              <w:tabs>
                <w:tab w:val="left" w:pos="20"/>
              </w:tabs>
              <w:spacing w:line="240" w:lineRule="auto"/>
              <w:ind w:right="200"/>
              <w:rPr>
                <w:rFonts w:ascii="Times New Roman" w:hAnsi="Times New Roman" w:cs="Times New Roman"/>
                <w:sz w:val="22"/>
                <w:szCs w:val="22"/>
                <w:shd w:val="clear" w:color="auto" w:fill="FFFFFF"/>
              </w:rPr>
            </w:pPr>
            <w:r w:rsidRPr="007E4745">
              <w:rPr>
                <w:rFonts w:ascii="Times New Roman" w:eastAsia="Calibri" w:hAnsi="Times New Roman" w:cs="Times New Roman"/>
                <w:color w:val="000000"/>
                <w:sz w:val="22"/>
                <w:szCs w:val="22"/>
                <w:shd w:val="clear" w:color="auto" w:fill="FFFFFF"/>
              </w:rPr>
              <w:t xml:space="preserve"> e) towarzystwami naukowymi (tj.: Polskie Towarzystwo Chirurgii Naczyniowej Polskie Towarzystwo Onkologii i Hematologii Dziecięcej, Polskie Towarzystwo Pediatryczne, </w:t>
            </w:r>
            <w:r w:rsidRPr="007E4745">
              <w:rPr>
                <w:rFonts w:ascii="Times New Roman" w:hAnsi="Times New Roman" w:cs="Times New Roman"/>
                <w:sz w:val="22"/>
                <w:szCs w:val="22"/>
                <w:shd w:val="clear" w:color="auto" w:fill="FFFFFF"/>
              </w:rPr>
              <w:t>Konferencja Rektorów Akademickich Uczelni Medycznych</w:t>
            </w:r>
            <w:r w:rsidRPr="007E4745">
              <w:rPr>
                <w:rFonts w:ascii="Times New Roman" w:eastAsia="Calibri" w:hAnsi="Times New Roman" w:cs="Times New Roman"/>
                <w:color w:val="000000"/>
                <w:sz w:val="22"/>
                <w:szCs w:val="22"/>
                <w:shd w:val="clear" w:color="auto" w:fill="FFFFFF"/>
              </w:rPr>
              <w:t>),</w:t>
            </w:r>
          </w:p>
          <w:p w14:paraId="6853FDD7" w14:textId="77777777" w:rsidR="007E4745" w:rsidRPr="00D07385" w:rsidRDefault="007E4745" w:rsidP="007E4745">
            <w:pPr>
              <w:spacing w:before="120" w:after="120"/>
              <w:jc w:val="both"/>
              <w:rPr>
                <w:rFonts w:ascii="Times New Roman" w:eastAsia="Calibri" w:hAnsi="Times New Roman" w:cs="Times New Roman"/>
                <w:color w:val="000000"/>
                <w:shd w:val="clear" w:color="auto" w:fill="FFFFFF"/>
              </w:rPr>
            </w:pPr>
            <w:r w:rsidRPr="007E4745">
              <w:rPr>
                <w:rFonts w:ascii="Times New Roman" w:eastAsia="Calibri" w:hAnsi="Times New Roman" w:cs="Times New Roman"/>
                <w:color w:val="000000"/>
                <w:shd w:val="clear" w:color="auto" w:fill="FFFFFF"/>
              </w:rPr>
              <w:t>f) instytutami badawczymi (tj.: Centrum Onkologii – Instytut im. Marii Skłodowskiej-Curie w Warszawie, Instytut „Centrum Zdrowia Matki Polki” w Łodzi, Instytut Fizjologii i Patologii Słuchu w Warszawie</w:t>
            </w:r>
            <w:r w:rsidRPr="00D07385">
              <w:rPr>
                <w:rFonts w:ascii="Times New Roman" w:eastAsia="Calibri" w:hAnsi="Times New Roman" w:cs="Times New Roman"/>
                <w:color w:val="000000"/>
                <w:shd w:val="clear" w:color="auto" w:fill="FFFFFF"/>
              </w:rPr>
              <w:t xml:space="preserve">, Instytut Gruźlicy i Chorób Płuc w Warszawie, Instytut Hematologii i Transfuzjologii w Warszawie, Instytut Kardiologii im. Prymasa Tysiąclecia Stefana Kardynała Wyszyńskiego, Instytut Matki i Dziecka w Warszawie, Instytut Medycyny Pracy im. prof. dr med. Jerzego Nofera w Łodzi, Instytut Medycyny Pracy i Zdrowia Środowiskowego w Sosnowcu, Instytut Medycyny Wsi im. Witolda Chodźki w Lublinie, Instytut „Pomnik – Centrum Zdrowia Dziecka” w Warszawie, Instytut Psychiatrii i Neurologii w Warszawie, Narodowy Instytut Geriatrii, Reumatologii i Rehabilitacji im. prof. dr hab. med. Eleonory Reicher, Instytut Żywności i Żywienia im. prof. dr med. Aleksandra Szczygła w Warszawie, Narodowy Instytut Zdrowia Publicznego – Państwowy Zakład Higieny, Narodowy Instytut Leków), </w:t>
            </w:r>
          </w:p>
          <w:p w14:paraId="793E0A27" w14:textId="77777777" w:rsidR="007E4745" w:rsidRPr="00D07385" w:rsidRDefault="007E4745" w:rsidP="007E4745">
            <w:pPr>
              <w:spacing w:before="120" w:after="120"/>
              <w:jc w:val="both"/>
              <w:rPr>
                <w:rFonts w:ascii="Times New Roman" w:eastAsia="Calibri" w:hAnsi="Times New Roman" w:cs="Times New Roman"/>
                <w:color w:val="000000"/>
                <w:shd w:val="clear" w:color="auto" w:fill="FFFFFF"/>
              </w:rPr>
            </w:pPr>
            <w:r w:rsidRPr="00D07385">
              <w:rPr>
                <w:rFonts w:ascii="Times New Roman" w:eastAsia="Calibri" w:hAnsi="Times New Roman" w:cs="Times New Roman"/>
                <w:color w:val="000000"/>
                <w:shd w:val="clear" w:color="auto" w:fill="FFFFFF"/>
              </w:rPr>
              <w:t>g)</w:t>
            </w:r>
            <w:r>
              <w:rPr>
                <w:rFonts w:ascii="Times New Roman" w:eastAsia="Calibri" w:hAnsi="Times New Roman" w:cs="Times New Roman"/>
                <w:color w:val="000000"/>
                <w:shd w:val="clear" w:color="auto" w:fill="FFFFFF"/>
              </w:rPr>
              <w:t xml:space="preserve"> </w:t>
            </w:r>
            <w:r w:rsidRPr="00D07385">
              <w:rPr>
                <w:rFonts w:ascii="Times New Roman" w:eastAsia="Calibri" w:hAnsi="Times New Roman" w:cs="Times New Roman"/>
                <w:color w:val="000000"/>
                <w:shd w:val="clear" w:color="auto" w:fill="FFFFFF"/>
              </w:rPr>
              <w:t>organizacjami pracodawców (tj.: Związek Powiatowych Samodzielnych Publicznych Zakładów Opieki Zdrowotnej Województwa Wielkopolskiego – Organizacja Pracodawców w Gnieźnie, Związek Pracodawców Ratownictwa Medycznego Samodzielnych Publicznych Zakładów Opieki Zdrowotnej, Wielkopolski Związek Zakładów Opieki Zdrowotnej – Organizacja Pracodawców, Stowarzyszenie Szpitali Powiatowych Województwa Małopolskiego, Federacja Związków Pracodawców Ochrony Zdrowia „Porozumienie Zielonogórskie”,</w:t>
            </w:r>
            <w:r>
              <w:rPr>
                <w:rFonts w:ascii="Times New Roman" w:eastAsia="Calibri" w:hAnsi="Times New Roman" w:cs="Times New Roman"/>
                <w:color w:val="000000"/>
                <w:shd w:val="clear" w:color="auto" w:fill="FFFFFF"/>
              </w:rPr>
              <w:t xml:space="preserve"> </w:t>
            </w:r>
            <w:r w:rsidRPr="00D07385">
              <w:rPr>
                <w:rFonts w:ascii="Times New Roman" w:eastAsia="Calibri" w:hAnsi="Times New Roman" w:cs="Times New Roman"/>
                <w:color w:val="000000"/>
                <w:shd w:val="clear" w:color="auto" w:fill="FFFFFF"/>
              </w:rPr>
              <w:t>Konsorcjum Szpitali Wrocławskich,</w:t>
            </w:r>
            <w:r>
              <w:rPr>
                <w:rFonts w:ascii="Times New Roman" w:eastAsia="Calibri" w:hAnsi="Times New Roman" w:cs="Times New Roman"/>
                <w:color w:val="000000"/>
                <w:shd w:val="clear" w:color="auto" w:fill="FFFFFF"/>
              </w:rPr>
              <w:t xml:space="preserve"> </w:t>
            </w:r>
            <w:r w:rsidRPr="0010032A">
              <w:rPr>
                <w:rFonts w:ascii="Times New Roman" w:eastAsia="Calibri" w:hAnsi="Times New Roman" w:cs="Times New Roman"/>
                <w:color w:val="000000"/>
                <w:shd w:val="clear" w:color="auto" w:fill="FFFFFF"/>
              </w:rPr>
              <w:t>Izb</w:t>
            </w:r>
            <w:r>
              <w:rPr>
                <w:rFonts w:ascii="Times New Roman" w:eastAsia="Calibri" w:hAnsi="Times New Roman" w:cs="Times New Roman"/>
                <w:color w:val="000000"/>
                <w:shd w:val="clear" w:color="auto" w:fill="FFFFFF"/>
              </w:rPr>
              <w:t>a</w:t>
            </w:r>
            <w:r w:rsidRPr="0010032A">
              <w:rPr>
                <w:rFonts w:ascii="Times New Roman" w:eastAsia="Calibri" w:hAnsi="Times New Roman" w:cs="Times New Roman"/>
                <w:color w:val="000000"/>
                <w:shd w:val="clear" w:color="auto" w:fill="FFFFFF"/>
              </w:rPr>
              <w:t xml:space="preserve"> Lecznictwa Polskiego</w:t>
            </w:r>
            <w:r>
              <w:rPr>
                <w:rFonts w:ascii="Times New Roman" w:eastAsia="Calibri" w:hAnsi="Times New Roman" w:cs="Times New Roman"/>
                <w:color w:val="000000"/>
                <w:shd w:val="clear" w:color="auto" w:fill="FFFFFF"/>
              </w:rPr>
              <w:t>,</w:t>
            </w:r>
            <w:r w:rsidRPr="00D07385">
              <w:rPr>
                <w:rFonts w:ascii="Times New Roman" w:eastAsia="Calibri" w:hAnsi="Times New Roman" w:cs="Times New Roman"/>
                <w:color w:val="000000"/>
                <w:shd w:val="clear" w:color="auto" w:fill="FFFFFF"/>
              </w:rPr>
              <w:t xml:space="preserve"> Ogólnopolski Związek Pracodawców Zakładów Opieki Zdrowotnej, Związek Pracodawców Samodzielnych Publicznych ZOZ Warmii i Mazur, Ogólnopolski Związek Pracodawców Prywatnej Służby Zdrowia – Medycyna Prywatna, Polska Unia Szpitali Klinicznych, Business Center Club, Związek Rzemiosła Polskiego,</w:t>
            </w:r>
            <w:r>
              <w:rPr>
                <w:rFonts w:ascii="Times New Roman" w:eastAsia="Calibri" w:hAnsi="Times New Roman" w:cs="Times New Roman"/>
                <w:color w:val="000000"/>
                <w:shd w:val="clear" w:color="auto" w:fill="FFFFFF"/>
              </w:rPr>
              <w:t xml:space="preserve"> </w:t>
            </w:r>
            <w:r w:rsidRPr="0010032A">
              <w:rPr>
                <w:rFonts w:ascii="Times New Roman" w:eastAsia="Calibri" w:hAnsi="Times New Roman" w:cs="Times New Roman"/>
                <w:color w:val="000000"/>
                <w:shd w:val="clear" w:color="auto" w:fill="FFFFFF"/>
              </w:rPr>
              <w:t>Pracodawców Rzeczpospolitej Polskiej</w:t>
            </w:r>
            <w:r w:rsidRPr="00D07385">
              <w:rPr>
                <w:rFonts w:ascii="Times New Roman" w:eastAsia="Calibri" w:hAnsi="Times New Roman" w:cs="Times New Roman"/>
                <w:color w:val="000000"/>
                <w:shd w:val="clear" w:color="auto" w:fill="FFFFFF"/>
              </w:rPr>
              <w:t xml:space="preserve">, </w:t>
            </w:r>
            <w:r w:rsidRPr="00FF0EA4">
              <w:rPr>
                <w:rFonts w:ascii="Times New Roman" w:eastAsia="Calibri" w:hAnsi="Times New Roman" w:cs="Times New Roman"/>
                <w:color w:val="000000"/>
                <w:shd w:val="clear" w:color="auto" w:fill="FFFFFF"/>
              </w:rPr>
              <w:t>Polska Konfederacja Pracodawców Prywatnych</w:t>
            </w:r>
            <w:r>
              <w:rPr>
                <w:rFonts w:ascii="Times New Roman" w:eastAsia="Calibri" w:hAnsi="Times New Roman" w:cs="Times New Roman"/>
                <w:color w:val="000000"/>
                <w:shd w:val="clear" w:color="auto" w:fill="FFFFFF"/>
              </w:rPr>
              <w:t xml:space="preserve"> „Lewiatan”</w:t>
            </w:r>
            <w:r w:rsidRPr="00D07385">
              <w:rPr>
                <w:rFonts w:ascii="Times New Roman" w:eastAsia="Calibri" w:hAnsi="Times New Roman" w:cs="Times New Roman"/>
                <w:color w:val="000000"/>
                <w:shd w:val="clear" w:color="auto" w:fill="FFFFFF"/>
              </w:rPr>
              <w:t>, Ogólnopolski Związek Pracodawców Samodzielnych Publicznych Szpitali Klinicznych, Związek Powiatowych Publicznych Zakładów Opieki Zdrowotnej Województwa Podkarpackiego, Gdański Związek Pracodawców, Związek Pracodawców Służby Zdrowia w Łodzi,</w:t>
            </w:r>
            <w:r>
              <w:rPr>
                <w:rFonts w:ascii="Times New Roman" w:eastAsia="Calibri" w:hAnsi="Times New Roman" w:cs="Times New Roman"/>
                <w:color w:val="000000"/>
                <w:shd w:val="clear" w:color="auto" w:fill="FFFFFF"/>
              </w:rPr>
              <w:t xml:space="preserve"> </w:t>
            </w:r>
            <w:r w:rsidRPr="0010032A">
              <w:rPr>
                <w:rFonts w:ascii="Times New Roman" w:eastAsia="Calibri" w:hAnsi="Times New Roman" w:cs="Times New Roman"/>
                <w:color w:val="000000"/>
                <w:shd w:val="clear" w:color="auto" w:fill="FFFFFF"/>
              </w:rPr>
              <w:t>Konfederację Pracodawców Polskich</w:t>
            </w:r>
            <w:r>
              <w:rPr>
                <w:rFonts w:ascii="Times New Roman" w:eastAsia="Calibri" w:hAnsi="Times New Roman" w:cs="Times New Roman"/>
                <w:color w:val="000000"/>
                <w:shd w:val="clear" w:color="auto" w:fill="FFFFFF"/>
              </w:rPr>
              <w:t xml:space="preserve">, </w:t>
            </w:r>
            <w:r w:rsidRPr="0010032A">
              <w:rPr>
                <w:rFonts w:ascii="Times New Roman" w:eastAsia="Calibri" w:hAnsi="Times New Roman" w:cs="Times New Roman"/>
                <w:color w:val="000000"/>
                <w:shd w:val="clear" w:color="auto" w:fill="FFFFFF"/>
              </w:rPr>
              <w:t>Mazowiecki Związek Pracodawców SP ZOZ</w:t>
            </w:r>
            <w:r>
              <w:rPr>
                <w:rFonts w:ascii="Times New Roman" w:eastAsia="Calibri" w:hAnsi="Times New Roman" w:cs="Times New Roman"/>
                <w:color w:val="000000"/>
                <w:shd w:val="clear" w:color="auto" w:fill="FFFFFF"/>
              </w:rPr>
              <w:t xml:space="preserve">, </w:t>
            </w:r>
            <w:r w:rsidRPr="0010032A">
              <w:rPr>
                <w:rFonts w:ascii="Times New Roman" w:eastAsia="Calibri" w:hAnsi="Times New Roman" w:cs="Times New Roman"/>
                <w:color w:val="000000"/>
                <w:shd w:val="clear" w:color="auto" w:fill="FFFFFF"/>
              </w:rPr>
              <w:t>Ogólnopolski Związek Pracodawców Opieki Zdrowotnej</w:t>
            </w:r>
            <w:r>
              <w:rPr>
                <w:rFonts w:ascii="Times New Roman" w:eastAsia="Calibri" w:hAnsi="Times New Roman" w:cs="Times New Roman"/>
                <w:color w:val="000000"/>
                <w:shd w:val="clear" w:color="auto" w:fill="FFFFFF"/>
              </w:rPr>
              <w:t>, Federacja Przedsiębiorców Polskich),</w:t>
            </w:r>
          </w:p>
          <w:p w14:paraId="5C186D55" w14:textId="77777777" w:rsidR="007E4745" w:rsidRDefault="007E4745" w:rsidP="007E4745">
            <w:pPr>
              <w:spacing w:before="120" w:after="120"/>
              <w:jc w:val="both"/>
              <w:rPr>
                <w:rFonts w:ascii="Times New Roman" w:eastAsia="Calibri" w:hAnsi="Times New Roman" w:cs="Times New Roman"/>
                <w:color w:val="000000"/>
                <w:shd w:val="clear" w:color="auto" w:fill="FFFFFF"/>
              </w:rPr>
            </w:pPr>
            <w:r w:rsidRPr="00D07385">
              <w:rPr>
                <w:rFonts w:ascii="Times New Roman" w:eastAsia="Calibri" w:hAnsi="Times New Roman" w:cs="Times New Roman"/>
                <w:color w:val="000000"/>
                <w:shd w:val="clear" w:color="auto" w:fill="FFFFFF"/>
              </w:rPr>
              <w:t>h) Radą Działalności Pożytku Publicznego i Radą Dialogu Społecznego</w:t>
            </w:r>
            <w:r>
              <w:rPr>
                <w:rFonts w:ascii="Times New Roman" w:eastAsia="Calibri" w:hAnsi="Times New Roman" w:cs="Times New Roman"/>
                <w:color w:val="000000"/>
                <w:shd w:val="clear" w:color="auto" w:fill="FFFFFF"/>
              </w:rPr>
              <w:t>,</w:t>
            </w:r>
          </w:p>
          <w:p w14:paraId="302736C3" w14:textId="05AEBCBC" w:rsidR="007E4745" w:rsidRDefault="007E4745" w:rsidP="007E4745">
            <w:pPr>
              <w:spacing w:before="120" w:after="120"/>
              <w:jc w:val="both"/>
              <w:rPr>
                <w:rFonts w:ascii="Times New Roman" w:eastAsia="Calibri" w:hAnsi="Times New Roman" w:cs="Times New Roman"/>
                <w:color w:val="000000"/>
                <w:shd w:val="clear" w:color="auto" w:fill="FFFFFF"/>
              </w:rPr>
            </w:pPr>
            <w:r>
              <w:rPr>
                <w:rFonts w:ascii="Times New Roman" w:eastAsia="Calibri" w:hAnsi="Times New Roman" w:cs="Times New Roman"/>
                <w:color w:val="000000"/>
                <w:shd w:val="clear" w:color="auto" w:fill="FFFFFF"/>
              </w:rPr>
              <w:t xml:space="preserve">i) </w:t>
            </w:r>
            <w:r>
              <w:rPr>
                <w:rFonts w:ascii="Times New Roman" w:eastAsia="Times New Roman" w:hAnsi="Times New Roman"/>
                <w:bCs/>
                <w:lang w:eastAsia="pl-PL"/>
              </w:rPr>
              <w:t>Prezesa Prokuratorii Generalnej Rzeczypospolitej Polskiej. Narodowego Funduszu Zdrowia, Agencji Oceny Technologii Medycznych i Taryfikacji</w:t>
            </w:r>
            <w:r w:rsidR="00A53886">
              <w:rPr>
                <w:rFonts w:ascii="Times New Roman" w:eastAsia="Calibri" w:hAnsi="Times New Roman" w:cs="Times New Roman"/>
                <w:color w:val="000000"/>
                <w:shd w:val="clear" w:color="auto" w:fill="FFFFFF"/>
              </w:rPr>
              <w:t xml:space="preserve">, Prezesa Urzędu Rejestracji Produktów Leczniczych, Wyrobów Medycznych i Produktów Biobójczych. </w:t>
            </w:r>
          </w:p>
          <w:p w14:paraId="6B6CAB5B" w14:textId="77777777" w:rsidR="007E4745" w:rsidRPr="0010032A" w:rsidRDefault="007E4745" w:rsidP="007E4745">
            <w:pPr>
              <w:spacing w:before="120" w:after="120"/>
              <w:jc w:val="both"/>
              <w:rPr>
                <w:rFonts w:ascii="Times New Roman" w:eastAsia="Calibri" w:hAnsi="Times New Roman" w:cs="Times New Roman"/>
                <w:color w:val="000000"/>
                <w:shd w:val="clear" w:color="auto" w:fill="FFFFFF"/>
              </w:rPr>
            </w:pPr>
            <w:r w:rsidRPr="0010032A">
              <w:rPr>
                <w:rFonts w:ascii="Times New Roman" w:eastAsia="Calibri" w:hAnsi="Times New Roman" w:cs="Times New Roman"/>
                <w:color w:val="000000"/>
                <w:shd w:val="clear" w:color="auto" w:fill="FFFFFF"/>
              </w:rPr>
              <w:t>Projekt zosta</w:t>
            </w:r>
            <w:r>
              <w:rPr>
                <w:rFonts w:ascii="Times New Roman" w:eastAsia="Calibri" w:hAnsi="Times New Roman" w:cs="Times New Roman"/>
                <w:color w:val="000000"/>
                <w:shd w:val="clear" w:color="auto" w:fill="FFFFFF"/>
              </w:rPr>
              <w:t>ł</w:t>
            </w:r>
            <w:r w:rsidRPr="0010032A">
              <w:rPr>
                <w:rFonts w:ascii="Times New Roman" w:eastAsia="Calibri" w:hAnsi="Times New Roman" w:cs="Times New Roman"/>
                <w:color w:val="000000"/>
                <w:shd w:val="clear" w:color="auto" w:fill="FFFFFF"/>
              </w:rPr>
              <w:t xml:space="preserve"> przesłany do zaopiniowania Komisji Wspólnej Rządu i Samorządu Terytorialnego zgodnie z ustawą z dnia 6 maja 2005 r. o Komisji Wspólnej Rządu i Samorządu Terytorialnego oraz o przedstawicielach Rzeczypospolitej Polskiej w Komitecie Regionów Unii Europejskiej (Dz. U. poz. 759).</w:t>
            </w:r>
          </w:p>
          <w:p w14:paraId="42F6BE11" w14:textId="77777777" w:rsidR="007E4745" w:rsidRPr="0010032A" w:rsidRDefault="007E4745" w:rsidP="007E4745">
            <w:pPr>
              <w:spacing w:before="120" w:after="120"/>
              <w:jc w:val="both"/>
              <w:rPr>
                <w:rFonts w:ascii="Times New Roman" w:eastAsia="Calibri" w:hAnsi="Times New Roman" w:cs="Times New Roman"/>
                <w:color w:val="000000"/>
                <w:shd w:val="clear" w:color="auto" w:fill="FFFFFF"/>
              </w:rPr>
            </w:pPr>
            <w:r>
              <w:rPr>
                <w:rFonts w:ascii="Times New Roman" w:eastAsia="Calibri" w:hAnsi="Times New Roman" w:cs="Times New Roman"/>
                <w:color w:val="000000"/>
                <w:shd w:val="clear" w:color="auto" w:fill="FFFFFF"/>
              </w:rPr>
              <w:t>Projekt rozporządzenia został</w:t>
            </w:r>
            <w:r w:rsidRPr="0010032A">
              <w:rPr>
                <w:rFonts w:ascii="Times New Roman" w:eastAsia="Calibri" w:hAnsi="Times New Roman" w:cs="Times New Roman"/>
                <w:color w:val="000000"/>
                <w:shd w:val="clear" w:color="auto" w:fill="FFFFFF"/>
              </w:rPr>
              <w:t xml:space="preserve"> udostępniony w Biuletynie Informacji Publicznej Ministerstwa Zdrowia zgodnie z art. 5  ustawy z dnia 7 lipca 2005 r. o działalności lobbingowej w procesie stanowienia prawa (Dz. U. z 2017 r. poz. 248) oraz w Biuletynie Informacji Publicznej Rządowego Centrum Legislacji, zgodnie z § 52 uchwały nr 190 Rady Ministrów z dnia 29 października 2013 r. – Regulamin pracy Rady Ministrów (M.P. z 2016 r. poz. 1006 i 1204).</w:t>
            </w:r>
          </w:p>
          <w:p w14:paraId="598E3EE3" w14:textId="0EE65D55" w:rsidR="002477A9" w:rsidRPr="00442C01" w:rsidRDefault="007E4745" w:rsidP="007E4745">
            <w:pPr>
              <w:spacing w:after="0"/>
              <w:jc w:val="both"/>
              <w:rPr>
                <w:rFonts w:ascii="Times New Roman" w:eastAsia="Calibri" w:hAnsi="Times New Roman" w:cs="Times New Roman"/>
                <w:color w:val="000000"/>
                <w:shd w:val="clear" w:color="auto" w:fill="FFFFFF"/>
              </w:rPr>
            </w:pPr>
            <w:r w:rsidRPr="0010032A">
              <w:rPr>
                <w:rFonts w:ascii="Times New Roman" w:eastAsia="Calibri" w:hAnsi="Times New Roman" w:cs="Times New Roman"/>
                <w:color w:val="000000"/>
                <w:shd w:val="clear" w:color="auto" w:fill="FFFFFF"/>
              </w:rPr>
              <w:t>Wyniki konsultacji publicznych i opiniowania zostaną omówione w raporcie, który zostanie dołączony do niniejszej Oceny</w:t>
            </w:r>
          </w:p>
        </w:tc>
      </w:tr>
      <w:tr w:rsidR="002477A9" w:rsidRPr="00442C01" w14:paraId="710322F5" w14:textId="77777777" w:rsidTr="00442C01">
        <w:trPr>
          <w:gridAfter w:val="1"/>
          <w:wAfter w:w="10" w:type="dxa"/>
          <w:trHeight w:val="363"/>
        </w:trPr>
        <w:tc>
          <w:tcPr>
            <w:tcW w:w="10937" w:type="dxa"/>
            <w:gridSpan w:val="28"/>
            <w:shd w:val="clear" w:color="auto" w:fill="99CCFF"/>
            <w:vAlign w:val="center"/>
          </w:tcPr>
          <w:p w14:paraId="063D1960" w14:textId="77777777" w:rsidR="002477A9" w:rsidRPr="00442C01" w:rsidRDefault="002477A9" w:rsidP="00173D72">
            <w:pPr>
              <w:numPr>
                <w:ilvl w:val="0"/>
                <w:numId w:val="1"/>
              </w:numPr>
              <w:spacing w:after="0" w:line="240" w:lineRule="auto"/>
              <w:ind w:left="318" w:hanging="284"/>
              <w:jc w:val="both"/>
              <w:rPr>
                <w:rFonts w:ascii="Times New Roman" w:eastAsia="Calibri" w:hAnsi="Times New Roman" w:cs="Times New Roman"/>
                <w:b/>
                <w:color w:val="000000"/>
              </w:rPr>
            </w:pPr>
            <w:r w:rsidRPr="00442C01">
              <w:rPr>
                <w:rFonts w:ascii="Times New Roman" w:eastAsia="Calibri" w:hAnsi="Times New Roman" w:cs="Times New Roman"/>
                <w:b/>
                <w:color w:val="000000"/>
              </w:rPr>
              <w:lastRenderedPageBreak/>
              <w:t xml:space="preserve"> Wpływ na sektor finansów publicznych</w:t>
            </w:r>
          </w:p>
        </w:tc>
      </w:tr>
      <w:tr w:rsidR="002477A9" w:rsidRPr="00C47C21" w14:paraId="06EC0D65" w14:textId="77777777" w:rsidTr="00C47C21">
        <w:trPr>
          <w:gridAfter w:val="1"/>
          <w:wAfter w:w="10" w:type="dxa"/>
          <w:trHeight w:val="142"/>
        </w:trPr>
        <w:tc>
          <w:tcPr>
            <w:tcW w:w="1589" w:type="dxa"/>
            <w:vMerge w:val="restart"/>
            <w:shd w:val="clear" w:color="auto" w:fill="FFFFFF"/>
            <w:vAlign w:val="center"/>
          </w:tcPr>
          <w:p w14:paraId="2060FBDB" w14:textId="77777777" w:rsidR="002477A9" w:rsidRPr="00C47C21" w:rsidRDefault="002477A9" w:rsidP="00173D72">
            <w:pPr>
              <w:spacing w:after="0"/>
              <w:jc w:val="center"/>
              <w:rPr>
                <w:rFonts w:ascii="Times New Roman" w:eastAsia="Calibri" w:hAnsi="Times New Roman" w:cs="Times New Roman"/>
                <w:i/>
                <w:color w:val="000000"/>
              </w:rPr>
            </w:pPr>
            <w:r>
              <w:rPr>
                <w:rFonts w:ascii="Times New Roman" w:eastAsia="Calibri" w:hAnsi="Times New Roman" w:cs="Times New Roman"/>
                <w:color w:val="000000"/>
              </w:rPr>
              <w:lastRenderedPageBreak/>
              <w:t>(ceny stałe z </w:t>
            </w:r>
            <w:r w:rsidRPr="00C47C21">
              <w:rPr>
                <w:rFonts w:ascii="Times New Roman" w:eastAsia="Calibri" w:hAnsi="Times New Roman" w:cs="Times New Roman"/>
                <w:color w:val="000000"/>
              </w:rPr>
              <w:t>2017 r.)</w:t>
            </w:r>
          </w:p>
        </w:tc>
        <w:tc>
          <w:tcPr>
            <w:tcW w:w="9348" w:type="dxa"/>
            <w:gridSpan w:val="27"/>
            <w:shd w:val="clear" w:color="auto" w:fill="FFFFFF"/>
          </w:tcPr>
          <w:p w14:paraId="43AAB4EF" w14:textId="77777777" w:rsidR="002477A9" w:rsidRPr="00C47C21" w:rsidRDefault="002477A9" w:rsidP="00173D72">
            <w:pPr>
              <w:spacing w:after="0" w:line="240" w:lineRule="auto"/>
              <w:jc w:val="center"/>
              <w:rPr>
                <w:rFonts w:ascii="Times New Roman" w:eastAsia="Calibri" w:hAnsi="Times New Roman" w:cs="Times New Roman"/>
                <w:i/>
                <w:color w:val="000000"/>
                <w:spacing w:val="-2"/>
              </w:rPr>
            </w:pPr>
            <w:r w:rsidRPr="00C47C21">
              <w:rPr>
                <w:rFonts w:ascii="Times New Roman" w:eastAsia="Calibri" w:hAnsi="Times New Roman" w:cs="Times New Roman"/>
                <w:color w:val="000000"/>
              </w:rPr>
              <w:t>Skutki w okresie 10 lat od wejścia w życie zmian [mln zł]</w:t>
            </w:r>
          </w:p>
        </w:tc>
      </w:tr>
      <w:tr w:rsidR="002477A9" w:rsidRPr="00C47C21" w14:paraId="50888C33" w14:textId="77777777" w:rsidTr="00C47C21">
        <w:trPr>
          <w:gridAfter w:val="1"/>
          <w:wAfter w:w="10" w:type="dxa"/>
          <w:trHeight w:val="142"/>
        </w:trPr>
        <w:tc>
          <w:tcPr>
            <w:tcW w:w="1589" w:type="dxa"/>
            <w:vMerge/>
            <w:shd w:val="clear" w:color="auto" w:fill="FFFFFF"/>
          </w:tcPr>
          <w:p w14:paraId="28CA83A1" w14:textId="77777777" w:rsidR="002477A9" w:rsidRPr="00C47C21" w:rsidRDefault="002477A9">
            <w:pPr>
              <w:spacing w:after="0" w:line="240" w:lineRule="auto"/>
              <w:rPr>
                <w:rFonts w:ascii="Times New Roman" w:eastAsia="Calibri" w:hAnsi="Times New Roman" w:cs="Times New Roman"/>
                <w:i/>
                <w:color w:val="000000"/>
              </w:rPr>
            </w:pPr>
          </w:p>
        </w:tc>
        <w:tc>
          <w:tcPr>
            <w:tcW w:w="760" w:type="dxa"/>
            <w:gridSpan w:val="2"/>
            <w:shd w:val="clear" w:color="auto" w:fill="FFFFFF"/>
            <w:vAlign w:val="center"/>
          </w:tcPr>
          <w:p w14:paraId="7C288A35" w14:textId="77777777" w:rsidR="002477A9" w:rsidRPr="00C47C21" w:rsidRDefault="002477A9">
            <w:pPr>
              <w:spacing w:after="0" w:line="240" w:lineRule="auto"/>
              <w:jc w:val="center"/>
              <w:rPr>
                <w:rFonts w:ascii="Times New Roman" w:eastAsia="Calibri" w:hAnsi="Times New Roman" w:cs="Times New Roman"/>
                <w:color w:val="000000"/>
              </w:rPr>
            </w:pPr>
            <w:r w:rsidRPr="00C47C21">
              <w:rPr>
                <w:rFonts w:ascii="Times New Roman" w:eastAsia="Calibri" w:hAnsi="Times New Roman" w:cs="Times New Roman"/>
                <w:color w:val="000000"/>
              </w:rPr>
              <w:t>0</w:t>
            </w:r>
          </w:p>
        </w:tc>
        <w:tc>
          <w:tcPr>
            <w:tcW w:w="760" w:type="dxa"/>
            <w:gridSpan w:val="2"/>
            <w:shd w:val="clear" w:color="auto" w:fill="FFFFFF"/>
            <w:vAlign w:val="center"/>
          </w:tcPr>
          <w:p w14:paraId="3A4B0179" w14:textId="77777777" w:rsidR="002477A9" w:rsidRPr="00C47C21" w:rsidRDefault="002477A9">
            <w:pPr>
              <w:spacing w:after="0" w:line="240" w:lineRule="auto"/>
              <w:jc w:val="center"/>
              <w:rPr>
                <w:rFonts w:ascii="Times New Roman" w:eastAsia="Calibri" w:hAnsi="Times New Roman" w:cs="Times New Roman"/>
                <w:color w:val="000000"/>
              </w:rPr>
            </w:pPr>
            <w:r w:rsidRPr="00C47C21">
              <w:rPr>
                <w:rFonts w:ascii="Times New Roman" w:eastAsia="Calibri" w:hAnsi="Times New Roman" w:cs="Times New Roman"/>
                <w:color w:val="000000"/>
              </w:rPr>
              <w:t>1</w:t>
            </w:r>
          </w:p>
        </w:tc>
        <w:tc>
          <w:tcPr>
            <w:tcW w:w="760" w:type="dxa"/>
            <w:gridSpan w:val="2"/>
            <w:shd w:val="clear" w:color="auto" w:fill="FFFFFF"/>
            <w:vAlign w:val="center"/>
          </w:tcPr>
          <w:p w14:paraId="6A846049" w14:textId="77777777" w:rsidR="002477A9" w:rsidRPr="00C47C21" w:rsidRDefault="002477A9">
            <w:pPr>
              <w:spacing w:after="0" w:line="240" w:lineRule="auto"/>
              <w:jc w:val="center"/>
              <w:rPr>
                <w:rFonts w:ascii="Times New Roman" w:eastAsia="Calibri" w:hAnsi="Times New Roman" w:cs="Times New Roman"/>
                <w:color w:val="000000"/>
              </w:rPr>
            </w:pPr>
            <w:r w:rsidRPr="00C47C21">
              <w:rPr>
                <w:rFonts w:ascii="Times New Roman" w:eastAsia="Calibri" w:hAnsi="Times New Roman" w:cs="Times New Roman"/>
                <w:color w:val="000000"/>
              </w:rPr>
              <w:t>2</w:t>
            </w:r>
          </w:p>
        </w:tc>
        <w:tc>
          <w:tcPr>
            <w:tcW w:w="761" w:type="dxa"/>
            <w:gridSpan w:val="2"/>
            <w:shd w:val="clear" w:color="auto" w:fill="FFFFFF"/>
            <w:vAlign w:val="center"/>
          </w:tcPr>
          <w:p w14:paraId="736ECED9" w14:textId="77777777" w:rsidR="002477A9" w:rsidRPr="00C47C21" w:rsidRDefault="002477A9">
            <w:pPr>
              <w:spacing w:after="0" w:line="240" w:lineRule="auto"/>
              <w:jc w:val="center"/>
              <w:rPr>
                <w:rFonts w:ascii="Times New Roman" w:eastAsia="Calibri" w:hAnsi="Times New Roman" w:cs="Times New Roman"/>
                <w:color w:val="000000"/>
              </w:rPr>
            </w:pPr>
            <w:r w:rsidRPr="00C47C21">
              <w:rPr>
                <w:rFonts w:ascii="Times New Roman" w:eastAsia="Calibri" w:hAnsi="Times New Roman" w:cs="Times New Roman"/>
                <w:color w:val="000000"/>
              </w:rPr>
              <w:t>3</w:t>
            </w:r>
          </w:p>
        </w:tc>
        <w:tc>
          <w:tcPr>
            <w:tcW w:w="760" w:type="dxa"/>
            <w:gridSpan w:val="4"/>
            <w:shd w:val="clear" w:color="auto" w:fill="FFFFFF"/>
            <w:vAlign w:val="center"/>
          </w:tcPr>
          <w:p w14:paraId="7D023E1C" w14:textId="77777777" w:rsidR="002477A9" w:rsidRPr="00C47C21" w:rsidRDefault="002477A9">
            <w:pPr>
              <w:spacing w:after="0" w:line="240" w:lineRule="auto"/>
              <w:jc w:val="center"/>
              <w:rPr>
                <w:rFonts w:ascii="Times New Roman" w:eastAsia="Calibri" w:hAnsi="Times New Roman" w:cs="Times New Roman"/>
                <w:color w:val="000000"/>
              </w:rPr>
            </w:pPr>
            <w:r w:rsidRPr="00C47C21">
              <w:rPr>
                <w:rFonts w:ascii="Times New Roman" w:eastAsia="Calibri" w:hAnsi="Times New Roman" w:cs="Times New Roman"/>
                <w:color w:val="000000"/>
              </w:rPr>
              <w:t>4</w:t>
            </w:r>
          </w:p>
        </w:tc>
        <w:tc>
          <w:tcPr>
            <w:tcW w:w="760" w:type="dxa"/>
            <w:gridSpan w:val="2"/>
            <w:shd w:val="clear" w:color="auto" w:fill="FFFFFF"/>
            <w:vAlign w:val="center"/>
          </w:tcPr>
          <w:p w14:paraId="5A15ABEF" w14:textId="77777777" w:rsidR="002477A9" w:rsidRPr="00C47C21" w:rsidRDefault="002477A9">
            <w:pPr>
              <w:spacing w:after="0" w:line="240" w:lineRule="auto"/>
              <w:jc w:val="center"/>
              <w:rPr>
                <w:rFonts w:ascii="Times New Roman" w:eastAsia="Calibri" w:hAnsi="Times New Roman" w:cs="Times New Roman"/>
                <w:color w:val="000000"/>
              </w:rPr>
            </w:pPr>
            <w:r w:rsidRPr="00C47C21">
              <w:rPr>
                <w:rFonts w:ascii="Times New Roman" w:eastAsia="Calibri" w:hAnsi="Times New Roman" w:cs="Times New Roman"/>
                <w:color w:val="000000"/>
              </w:rPr>
              <w:t>5</w:t>
            </w:r>
          </w:p>
        </w:tc>
        <w:tc>
          <w:tcPr>
            <w:tcW w:w="760" w:type="dxa"/>
            <w:gridSpan w:val="3"/>
            <w:shd w:val="clear" w:color="auto" w:fill="FFFFFF"/>
            <w:vAlign w:val="center"/>
          </w:tcPr>
          <w:p w14:paraId="0C71E218" w14:textId="77777777" w:rsidR="002477A9" w:rsidRPr="00C47C21" w:rsidRDefault="002477A9">
            <w:pPr>
              <w:spacing w:after="0" w:line="240" w:lineRule="auto"/>
              <w:jc w:val="center"/>
              <w:rPr>
                <w:rFonts w:ascii="Times New Roman" w:eastAsia="Calibri" w:hAnsi="Times New Roman" w:cs="Times New Roman"/>
                <w:color w:val="000000"/>
              </w:rPr>
            </w:pPr>
            <w:r w:rsidRPr="00C47C21">
              <w:rPr>
                <w:rFonts w:ascii="Times New Roman" w:eastAsia="Calibri" w:hAnsi="Times New Roman" w:cs="Times New Roman"/>
                <w:color w:val="000000"/>
              </w:rPr>
              <w:t>6</w:t>
            </w:r>
          </w:p>
        </w:tc>
        <w:tc>
          <w:tcPr>
            <w:tcW w:w="761" w:type="dxa"/>
            <w:gridSpan w:val="4"/>
            <w:shd w:val="clear" w:color="auto" w:fill="FFFFFF"/>
            <w:vAlign w:val="center"/>
          </w:tcPr>
          <w:p w14:paraId="07FB6646" w14:textId="77777777" w:rsidR="002477A9" w:rsidRPr="00C47C21" w:rsidRDefault="002477A9">
            <w:pPr>
              <w:spacing w:after="0" w:line="240" w:lineRule="auto"/>
              <w:jc w:val="center"/>
              <w:rPr>
                <w:rFonts w:ascii="Times New Roman" w:eastAsia="Calibri" w:hAnsi="Times New Roman" w:cs="Times New Roman"/>
                <w:color w:val="000000"/>
              </w:rPr>
            </w:pPr>
            <w:r w:rsidRPr="00C47C21">
              <w:rPr>
                <w:rFonts w:ascii="Times New Roman" w:eastAsia="Calibri" w:hAnsi="Times New Roman" w:cs="Times New Roman"/>
                <w:color w:val="000000"/>
              </w:rPr>
              <w:t>7</w:t>
            </w:r>
          </w:p>
        </w:tc>
        <w:tc>
          <w:tcPr>
            <w:tcW w:w="760" w:type="dxa"/>
            <w:shd w:val="clear" w:color="auto" w:fill="FFFFFF"/>
            <w:vAlign w:val="center"/>
          </w:tcPr>
          <w:p w14:paraId="528F3DB5" w14:textId="77777777" w:rsidR="002477A9" w:rsidRPr="00C47C21" w:rsidRDefault="002477A9">
            <w:pPr>
              <w:spacing w:after="0" w:line="240" w:lineRule="auto"/>
              <w:jc w:val="center"/>
              <w:rPr>
                <w:rFonts w:ascii="Times New Roman" w:eastAsia="Calibri" w:hAnsi="Times New Roman" w:cs="Times New Roman"/>
                <w:color w:val="000000"/>
              </w:rPr>
            </w:pPr>
            <w:r w:rsidRPr="00C47C21">
              <w:rPr>
                <w:rFonts w:ascii="Times New Roman" w:eastAsia="Calibri" w:hAnsi="Times New Roman" w:cs="Times New Roman"/>
                <w:color w:val="000000"/>
              </w:rPr>
              <w:t>8</w:t>
            </w:r>
          </w:p>
        </w:tc>
        <w:tc>
          <w:tcPr>
            <w:tcW w:w="760" w:type="dxa"/>
            <w:gridSpan w:val="2"/>
            <w:shd w:val="clear" w:color="auto" w:fill="FFFFFF"/>
            <w:vAlign w:val="center"/>
          </w:tcPr>
          <w:p w14:paraId="5C3F1E05" w14:textId="77777777" w:rsidR="002477A9" w:rsidRPr="00C47C21" w:rsidRDefault="002477A9">
            <w:pPr>
              <w:spacing w:after="0" w:line="240" w:lineRule="auto"/>
              <w:jc w:val="center"/>
              <w:rPr>
                <w:rFonts w:ascii="Times New Roman" w:eastAsia="Calibri" w:hAnsi="Times New Roman" w:cs="Times New Roman"/>
                <w:color w:val="000000"/>
              </w:rPr>
            </w:pPr>
            <w:r w:rsidRPr="00C47C21">
              <w:rPr>
                <w:rFonts w:ascii="Times New Roman" w:eastAsia="Calibri" w:hAnsi="Times New Roman" w:cs="Times New Roman"/>
                <w:color w:val="000000"/>
              </w:rPr>
              <w:t>9</w:t>
            </w:r>
          </w:p>
        </w:tc>
        <w:tc>
          <w:tcPr>
            <w:tcW w:w="761" w:type="dxa"/>
            <w:gridSpan w:val="2"/>
            <w:shd w:val="clear" w:color="auto" w:fill="FFFFFF"/>
            <w:vAlign w:val="center"/>
          </w:tcPr>
          <w:p w14:paraId="7C6F9AC7" w14:textId="77777777" w:rsidR="002477A9" w:rsidRPr="00C47C21" w:rsidRDefault="002477A9">
            <w:pPr>
              <w:spacing w:after="0" w:line="240" w:lineRule="auto"/>
              <w:jc w:val="center"/>
              <w:rPr>
                <w:rFonts w:ascii="Times New Roman" w:eastAsia="Calibri" w:hAnsi="Times New Roman" w:cs="Times New Roman"/>
                <w:color w:val="000000"/>
              </w:rPr>
            </w:pPr>
            <w:r w:rsidRPr="00C47C21">
              <w:rPr>
                <w:rFonts w:ascii="Times New Roman" w:eastAsia="Calibri" w:hAnsi="Times New Roman" w:cs="Times New Roman"/>
                <w:color w:val="000000"/>
              </w:rPr>
              <w:t>10</w:t>
            </w:r>
          </w:p>
        </w:tc>
        <w:tc>
          <w:tcPr>
            <w:tcW w:w="985" w:type="dxa"/>
            <w:shd w:val="clear" w:color="auto" w:fill="FFFFFF"/>
            <w:vAlign w:val="center"/>
          </w:tcPr>
          <w:p w14:paraId="6091B2E3" w14:textId="77777777" w:rsidR="002477A9" w:rsidRPr="00C47C21" w:rsidRDefault="002477A9">
            <w:pPr>
              <w:spacing w:after="0" w:line="240" w:lineRule="auto"/>
              <w:jc w:val="center"/>
              <w:rPr>
                <w:rFonts w:ascii="Times New Roman" w:eastAsia="Calibri" w:hAnsi="Times New Roman" w:cs="Times New Roman"/>
                <w:i/>
                <w:color w:val="000000"/>
                <w:spacing w:val="-2"/>
              </w:rPr>
            </w:pPr>
            <w:r w:rsidRPr="00C47C21">
              <w:rPr>
                <w:rFonts w:ascii="Times New Roman" w:eastAsia="Calibri" w:hAnsi="Times New Roman" w:cs="Times New Roman"/>
                <w:i/>
                <w:color w:val="000000"/>
                <w:spacing w:val="-2"/>
              </w:rPr>
              <w:t>Łącznie (0-10)</w:t>
            </w:r>
          </w:p>
        </w:tc>
      </w:tr>
      <w:tr w:rsidR="002477A9" w:rsidRPr="00442C01" w14:paraId="16118834" w14:textId="77777777" w:rsidTr="00C50E6B">
        <w:trPr>
          <w:trHeight w:val="321"/>
        </w:trPr>
        <w:tc>
          <w:tcPr>
            <w:tcW w:w="1589" w:type="dxa"/>
            <w:shd w:val="clear" w:color="auto" w:fill="FFFFFF"/>
            <w:vAlign w:val="center"/>
          </w:tcPr>
          <w:p w14:paraId="21776349" w14:textId="77777777" w:rsidR="002477A9" w:rsidRPr="00C47C21" w:rsidRDefault="002477A9" w:rsidP="00FF07A3">
            <w:pPr>
              <w:spacing w:after="0" w:line="240" w:lineRule="auto"/>
              <w:jc w:val="center"/>
              <w:rPr>
                <w:rFonts w:ascii="Times New Roman" w:eastAsia="Calibri" w:hAnsi="Times New Roman" w:cs="Times New Roman"/>
                <w:color w:val="000000"/>
              </w:rPr>
            </w:pPr>
            <w:r w:rsidRPr="00C47C21">
              <w:rPr>
                <w:rFonts w:ascii="Times New Roman" w:eastAsia="Calibri" w:hAnsi="Times New Roman" w:cs="Times New Roman"/>
                <w:b/>
                <w:color w:val="000000"/>
              </w:rPr>
              <w:t>Dochody ogółem</w:t>
            </w:r>
          </w:p>
        </w:tc>
        <w:tc>
          <w:tcPr>
            <w:tcW w:w="760" w:type="dxa"/>
            <w:gridSpan w:val="2"/>
            <w:shd w:val="clear" w:color="auto" w:fill="FFFFFF"/>
            <w:vAlign w:val="center"/>
          </w:tcPr>
          <w:p w14:paraId="7C28AA6D"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gridSpan w:val="2"/>
            <w:shd w:val="clear" w:color="auto" w:fill="FFFFFF"/>
            <w:vAlign w:val="center"/>
          </w:tcPr>
          <w:p w14:paraId="3F1F1FAB"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gridSpan w:val="2"/>
            <w:shd w:val="clear" w:color="auto" w:fill="FFFFFF"/>
            <w:vAlign w:val="center"/>
          </w:tcPr>
          <w:p w14:paraId="280EB791"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1" w:type="dxa"/>
            <w:gridSpan w:val="2"/>
            <w:shd w:val="clear" w:color="auto" w:fill="FFFFFF"/>
            <w:vAlign w:val="center"/>
          </w:tcPr>
          <w:p w14:paraId="57A50459"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gridSpan w:val="4"/>
            <w:shd w:val="clear" w:color="auto" w:fill="FFFFFF"/>
            <w:vAlign w:val="center"/>
          </w:tcPr>
          <w:p w14:paraId="70A4BFE4"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gridSpan w:val="2"/>
            <w:shd w:val="clear" w:color="auto" w:fill="FFFFFF"/>
            <w:vAlign w:val="center"/>
          </w:tcPr>
          <w:p w14:paraId="7B628DCD"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gridSpan w:val="3"/>
            <w:shd w:val="clear" w:color="auto" w:fill="FFFFFF"/>
            <w:vAlign w:val="center"/>
          </w:tcPr>
          <w:p w14:paraId="0EE6FAF8"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1" w:type="dxa"/>
            <w:gridSpan w:val="4"/>
            <w:shd w:val="clear" w:color="auto" w:fill="FFFFFF"/>
            <w:vAlign w:val="center"/>
          </w:tcPr>
          <w:p w14:paraId="4E36BB8F"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shd w:val="clear" w:color="auto" w:fill="FFFFFF"/>
            <w:vAlign w:val="center"/>
          </w:tcPr>
          <w:p w14:paraId="24C63105"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gridSpan w:val="2"/>
            <w:shd w:val="clear" w:color="auto" w:fill="FFFFFF"/>
            <w:vAlign w:val="center"/>
          </w:tcPr>
          <w:p w14:paraId="62535F03"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1" w:type="dxa"/>
            <w:gridSpan w:val="2"/>
            <w:shd w:val="clear" w:color="auto" w:fill="FFFFFF"/>
            <w:vAlign w:val="center"/>
          </w:tcPr>
          <w:p w14:paraId="3370D9E5"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995" w:type="dxa"/>
            <w:gridSpan w:val="2"/>
            <w:shd w:val="clear" w:color="auto" w:fill="FFFFFF"/>
            <w:vAlign w:val="center"/>
          </w:tcPr>
          <w:p w14:paraId="0B63FDF0"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r>
      <w:tr w:rsidR="002477A9" w:rsidRPr="00442C01" w14:paraId="74A94E56" w14:textId="77777777" w:rsidTr="00C50E6B">
        <w:trPr>
          <w:trHeight w:val="321"/>
        </w:trPr>
        <w:tc>
          <w:tcPr>
            <w:tcW w:w="1589" w:type="dxa"/>
            <w:shd w:val="clear" w:color="auto" w:fill="FFFFFF"/>
            <w:vAlign w:val="center"/>
          </w:tcPr>
          <w:p w14:paraId="39A2E638" w14:textId="77777777" w:rsidR="002477A9" w:rsidRPr="00C47C21" w:rsidRDefault="002477A9" w:rsidP="00FF07A3">
            <w:pPr>
              <w:spacing w:after="0" w:line="240" w:lineRule="auto"/>
              <w:jc w:val="center"/>
              <w:rPr>
                <w:rFonts w:ascii="Times New Roman" w:eastAsia="Calibri" w:hAnsi="Times New Roman" w:cs="Times New Roman"/>
                <w:color w:val="000000"/>
              </w:rPr>
            </w:pPr>
            <w:r w:rsidRPr="00C47C21">
              <w:rPr>
                <w:rFonts w:ascii="Times New Roman" w:eastAsia="Calibri" w:hAnsi="Times New Roman" w:cs="Times New Roman"/>
                <w:color w:val="000000"/>
              </w:rPr>
              <w:t>budżet państwa</w:t>
            </w:r>
          </w:p>
        </w:tc>
        <w:tc>
          <w:tcPr>
            <w:tcW w:w="760" w:type="dxa"/>
            <w:gridSpan w:val="2"/>
            <w:shd w:val="clear" w:color="auto" w:fill="FFFFFF"/>
            <w:vAlign w:val="center"/>
          </w:tcPr>
          <w:p w14:paraId="3966B614"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gridSpan w:val="2"/>
            <w:shd w:val="clear" w:color="auto" w:fill="FFFFFF"/>
            <w:vAlign w:val="center"/>
          </w:tcPr>
          <w:p w14:paraId="3463FEE6"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gridSpan w:val="2"/>
            <w:shd w:val="clear" w:color="auto" w:fill="FFFFFF"/>
            <w:vAlign w:val="center"/>
          </w:tcPr>
          <w:p w14:paraId="7B368B07"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1" w:type="dxa"/>
            <w:gridSpan w:val="2"/>
            <w:shd w:val="clear" w:color="auto" w:fill="FFFFFF"/>
            <w:vAlign w:val="center"/>
          </w:tcPr>
          <w:p w14:paraId="768084B3"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gridSpan w:val="4"/>
            <w:shd w:val="clear" w:color="auto" w:fill="FFFFFF"/>
            <w:vAlign w:val="center"/>
          </w:tcPr>
          <w:p w14:paraId="3B6FBC4A"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gridSpan w:val="2"/>
            <w:shd w:val="clear" w:color="auto" w:fill="FFFFFF"/>
            <w:vAlign w:val="center"/>
          </w:tcPr>
          <w:p w14:paraId="48974710"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gridSpan w:val="3"/>
            <w:shd w:val="clear" w:color="auto" w:fill="FFFFFF"/>
            <w:vAlign w:val="center"/>
          </w:tcPr>
          <w:p w14:paraId="6E8E0508"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1" w:type="dxa"/>
            <w:gridSpan w:val="4"/>
            <w:shd w:val="clear" w:color="auto" w:fill="FFFFFF"/>
            <w:vAlign w:val="center"/>
          </w:tcPr>
          <w:p w14:paraId="5963E40A"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shd w:val="clear" w:color="auto" w:fill="FFFFFF"/>
            <w:vAlign w:val="center"/>
          </w:tcPr>
          <w:p w14:paraId="68302F45"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gridSpan w:val="2"/>
            <w:shd w:val="clear" w:color="auto" w:fill="FFFFFF"/>
            <w:vAlign w:val="center"/>
          </w:tcPr>
          <w:p w14:paraId="1B924987"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1" w:type="dxa"/>
            <w:gridSpan w:val="2"/>
            <w:shd w:val="clear" w:color="auto" w:fill="FFFFFF"/>
            <w:vAlign w:val="center"/>
          </w:tcPr>
          <w:p w14:paraId="561B8341"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995" w:type="dxa"/>
            <w:gridSpan w:val="2"/>
            <w:shd w:val="clear" w:color="auto" w:fill="FFFFFF"/>
            <w:vAlign w:val="center"/>
          </w:tcPr>
          <w:p w14:paraId="78872BD4" w14:textId="77777777" w:rsidR="002477A9" w:rsidRPr="00C50E6B" w:rsidRDefault="002477A9">
            <w:pPr>
              <w:spacing w:after="0" w:line="240" w:lineRule="auto"/>
              <w:jc w:val="center"/>
              <w:rPr>
                <w:rFonts w:ascii="Times New Roman" w:eastAsia="Calibri" w:hAnsi="Times New Roman" w:cs="Times New Roman"/>
                <w:color w:val="000000"/>
                <w:spacing w:val="-2"/>
                <w:sz w:val="19"/>
                <w:szCs w:val="19"/>
              </w:rPr>
            </w:pPr>
            <w:r w:rsidRPr="00C50E6B">
              <w:rPr>
                <w:rFonts w:ascii="Times New Roman" w:eastAsia="Calibri" w:hAnsi="Times New Roman" w:cs="Times New Roman"/>
                <w:color w:val="000000"/>
                <w:spacing w:val="-2"/>
                <w:sz w:val="19"/>
                <w:szCs w:val="19"/>
              </w:rPr>
              <w:t>0</w:t>
            </w:r>
          </w:p>
        </w:tc>
      </w:tr>
      <w:tr w:rsidR="002477A9" w:rsidRPr="00442C01" w14:paraId="1E4CDC1B" w14:textId="77777777" w:rsidTr="00C50E6B">
        <w:trPr>
          <w:trHeight w:val="344"/>
        </w:trPr>
        <w:tc>
          <w:tcPr>
            <w:tcW w:w="1589" w:type="dxa"/>
            <w:shd w:val="clear" w:color="auto" w:fill="FFFFFF"/>
            <w:vAlign w:val="center"/>
          </w:tcPr>
          <w:p w14:paraId="1E2F2FDB" w14:textId="77777777" w:rsidR="002477A9" w:rsidRPr="00C47C21" w:rsidRDefault="002477A9" w:rsidP="00FF07A3">
            <w:pPr>
              <w:spacing w:after="0" w:line="240" w:lineRule="auto"/>
              <w:jc w:val="center"/>
              <w:rPr>
                <w:rFonts w:ascii="Times New Roman" w:eastAsia="Calibri" w:hAnsi="Times New Roman" w:cs="Times New Roman"/>
                <w:color w:val="000000"/>
              </w:rPr>
            </w:pPr>
            <w:r w:rsidRPr="00C47C21">
              <w:rPr>
                <w:rFonts w:ascii="Times New Roman" w:eastAsia="Calibri" w:hAnsi="Times New Roman" w:cs="Times New Roman"/>
                <w:color w:val="000000"/>
              </w:rPr>
              <w:t>JST</w:t>
            </w:r>
          </w:p>
        </w:tc>
        <w:tc>
          <w:tcPr>
            <w:tcW w:w="760" w:type="dxa"/>
            <w:gridSpan w:val="2"/>
            <w:shd w:val="clear" w:color="auto" w:fill="FFFFFF"/>
            <w:vAlign w:val="center"/>
          </w:tcPr>
          <w:p w14:paraId="134BACB8"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gridSpan w:val="2"/>
            <w:shd w:val="clear" w:color="auto" w:fill="FFFFFF"/>
            <w:vAlign w:val="center"/>
          </w:tcPr>
          <w:p w14:paraId="592DBF3F"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gridSpan w:val="2"/>
            <w:shd w:val="clear" w:color="auto" w:fill="FFFFFF"/>
            <w:vAlign w:val="center"/>
          </w:tcPr>
          <w:p w14:paraId="4B0EBAC3"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1" w:type="dxa"/>
            <w:gridSpan w:val="2"/>
            <w:shd w:val="clear" w:color="auto" w:fill="FFFFFF"/>
            <w:vAlign w:val="center"/>
          </w:tcPr>
          <w:p w14:paraId="0F1FB3BE"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gridSpan w:val="4"/>
            <w:shd w:val="clear" w:color="auto" w:fill="FFFFFF"/>
            <w:vAlign w:val="center"/>
          </w:tcPr>
          <w:p w14:paraId="4E3F3EE3"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gridSpan w:val="2"/>
            <w:shd w:val="clear" w:color="auto" w:fill="FFFFFF"/>
            <w:vAlign w:val="center"/>
          </w:tcPr>
          <w:p w14:paraId="6B5C7383"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gridSpan w:val="3"/>
            <w:shd w:val="clear" w:color="auto" w:fill="FFFFFF"/>
            <w:vAlign w:val="center"/>
          </w:tcPr>
          <w:p w14:paraId="54C85BC1"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1" w:type="dxa"/>
            <w:gridSpan w:val="4"/>
            <w:shd w:val="clear" w:color="auto" w:fill="FFFFFF"/>
            <w:vAlign w:val="center"/>
          </w:tcPr>
          <w:p w14:paraId="2574DBFF"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shd w:val="clear" w:color="auto" w:fill="FFFFFF"/>
            <w:vAlign w:val="center"/>
          </w:tcPr>
          <w:p w14:paraId="0F289A29"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gridSpan w:val="2"/>
            <w:shd w:val="clear" w:color="auto" w:fill="FFFFFF"/>
            <w:vAlign w:val="center"/>
          </w:tcPr>
          <w:p w14:paraId="23AEC62D"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1" w:type="dxa"/>
            <w:gridSpan w:val="2"/>
            <w:shd w:val="clear" w:color="auto" w:fill="FFFFFF"/>
            <w:vAlign w:val="center"/>
          </w:tcPr>
          <w:p w14:paraId="02F5776E"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995" w:type="dxa"/>
            <w:gridSpan w:val="2"/>
            <w:shd w:val="clear" w:color="auto" w:fill="FFFFFF"/>
            <w:vAlign w:val="center"/>
          </w:tcPr>
          <w:p w14:paraId="1DF36A97"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r>
      <w:tr w:rsidR="002477A9" w:rsidRPr="00442C01" w14:paraId="5C953A17" w14:textId="77777777" w:rsidTr="00C50E6B">
        <w:trPr>
          <w:trHeight w:val="344"/>
        </w:trPr>
        <w:tc>
          <w:tcPr>
            <w:tcW w:w="1589" w:type="dxa"/>
            <w:shd w:val="clear" w:color="auto" w:fill="FFFFFF"/>
            <w:vAlign w:val="center"/>
          </w:tcPr>
          <w:p w14:paraId="05A4B999" w14:textId="77777777" w:rsidR="002477A9" w:rsidRPr="00C47C21" w:rsidRDefault="002477A9" w:rsidP="00FF07A3">
            <w:pPr>
              <w:spacing w:after="0" w:line="240" w:lineRule="auto"/>
              <w:jc w:val="center"/>
              <w:rPr>
                <w:rFonts w:ascii="Times New Roman" w:eastAsia="Calibri" w:hAnsi="Times New Roman" w:cs="Times New Roman"/>
                <w:color w:val="000000"/>
              </w:rPr>
            </w:pPr>
            <w:r w:rsidRPr="00C47C21">
              <w:rPr>
                <w:rFonts w:ascii="Times New Roman" w:eastAsia="Calibri" w:hAnsi="Times New Roman" w:cs="Times New Roman"/>
                <w:color w:val="000000"/>
              </w:rPr>
              <w:t>Narodowy Fundusz Zdrowia</w:t>
            </w:r>
          </w:p>
        </w:tc>
        <w:tc>
          <w:tcPr>
            <w:tcW w:w="760" w:type="dxa"/>
            <w:gridSpan w:val="2"/>
            <w:shd w:val="clear" w:color="auto" w:fill="FFFFFF"/>
            <w:vAlign w:val="center"/>
          </w:tcPr>
          <w:p w14:paraId="1B70E87E"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gridSpan w:val="2"/>
            <w:shd w:val="clear" w:color="auto" w:fill="FFFFFF"/>
            <w:vAlign w:val="center"/>
          </w:tcPr>
          <w:p w14:paraId="5593EF4E"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gridSpan w:val="2"/>
            <w:shd w:val="clear" w:color="auto" w:fill="FFFFFF"/>
            <w:vAlign w:val="center"/>
          </w:tcPr>
          <w:p w14:paraId="275072C2"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1" w:type="dxa"/>
            <w:gridSpan w:val="2"/>
            <w:shd w:val="clear" w:color="auto" w:fill="FFFFFF"/>
            <w:vAlign w:val="center"/>
          </w:tcPr>
          <w:p w14:paraId="544F33C6"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gridSpan w:val="4"/>
            <w:shd w:val="clear" w:color="auto" w:fill="FFFFFF"/>
            <w:vAlign w:val="center"/>
          </w:tcPr>
          <w:p w14:paraId="7D820EB7"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gridSpan w:val="2"/>
            <w:shd w:val="clear" w:color="auto" w:fill="FFFFFF"/>
            <w:vAlign w:val="center"/>
          </w:tcPr>
          <w:p w14:paraId="017B6FE1"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gridSpan w:val="3"/>
            <w:shd w:val="clear" w:color="auto" w:fill="FFFFFF"/>
            <w:vAlign w:val="center"/>
          </w:tcPr>
          <w:p w14:paraId="777FC5B4"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1" w:type="dxa"/>
            <w:gridSpan w:val="4"/>
            <w:shd w:val="clear" w:color="auto" w:fill="FFFFFF"/>
            <w:vAlign w:val="center"/>
          </w:tcPr>
          <w:p w14:paraId="7BD088B8"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shd w:val="clear" w:color="auto" w:fill="FFFFFF"/>
            <w:vAlign w:val="center"/>
          </w:tcPr>
          <w:p w14:paraId="0A19E9AB"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gridSpan w:val="2"/>
            <w:shd w:val="clear" w:color="auto" w:fill="FFFFFF"/>
            <w:vAlign w:val="center"/>
          </w:tcPr>
          <w:p w14:paraId="1F25EB1D"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1" w:type="dxa"/>
            <w:gridSpan w:val="2"/>
            <w:shd w:val="clear" w:color="auto" w:fill="FFFFFF"/>
            <w:vAlign w:val="center"/>
          </w:tcPr>
          <w:p w14:paraId="0CB96E89"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995" w:type="dxa"/>
            <w:gridSpan w:val="2"/>
            <w:shd w:val="clear" w:color="auto" w:fill="FFFFFF"/>
            <w:vAlign w:val="center"/>
          </w:tcPr>
          <w:p w14:paraId="40D23DAF"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r>
      <w:tr w:rsidR="002477A9" w:rsidRPr="00442C01" w14:paraId="310EB3E6" w14:textId="77777777" w:rsidTr="00C50E6B">
        <w:trPr>
          <w:trHeight w:val="330"/>
        </w:trPr>
        <w:tc>
          <w:tcPr>
            <w:tcW w:w="1589" w:type="dxa"/>
            <w:shd w:val="clear" w:color="auto" w:fill="FFFFFF"/>
            <w:vAlign w:val="center"/>
          </w:tcPr>
          <w:p w14:paraId="63E26430" w14:textId="77777777" w:rsidR="002477A9" w:rsidRPr="00C47C21" w:rsidRDefault="002477A9" w:rsidP="00FF07A3">
            <w:pPr>
              <w:spacing w:after="0" w:line="240" w:lineRule="auto"/>
              <w:jc w:val="center"/>
              <w:rPr>
                <w:rFonts w:ascii="Times New Roman" w:eastAsia="Calibri" w:hAnsi="Times New Roman" w:cs="Times New Roman"/>
                <w:color w:val="000000"/>
              </w:rPr>
            </w:pPr>
            <w:r w:rsidRPr="00C47C21">
              <w:rPr>
                <w:rFonts w:ascii="Times New Roman" w:eastAsia="Calibri" w:hAnsi="Times New Roman" w:cs="Times New Roman"/>
                <w:b/>
                <w:color w:val="000000"/>
              </w:rPr>
              <w:t>Wydatki ogółem</w:t>
            </w:r>
          </w:p>
        </w:tc>
        <w:tc>
          <w:tcPr>
            <w:tcW w:w="760" w:type="dxa"/>
            <w:gridSpan w:val="2"/>
            <w:shd w:val="clear" w:color="auto" w:fill="FFFFFF"/>
            <w:vAlign w:val="center"/>
          </w:tcPr>
          <w:p w14:paraId="7F2A6B7C"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hAnsi="Times New Roman" w:cs="Times New Roman"/>
                <w:sz w:val="19"/>
                <w:szCs w:val="19"/>
              </w:rPr>
              <w:t>64,9</w:t>
            </w:r>
          </w:p>
        </w:tc>
        <w:tc>
          <w:tcPr>
            <w:tcW w:w="760" w:type="dxa"/>
            <w:gridSpan w:val="2"/>
            <w:shd w:val="clear" w:color="auto" w:fill="FFFFFF"/>
            <w:vAlign w:val="center"/>
          </w:tcPr>
          <w:p w14:paraId="196A8363"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hAnsi="Times New Roman" w:cs="Times New Roman"/>
                <w:sz w:val="19"/>
                <w:szCs w:val="19"/>
              </w:rPr>
              <w:t>100,23</w:t>
            </w:r>
          </w:p>
        </w:tc>
        <w:tc>
          <w:tcPr>
            <w:tcW w:w="760" w:type="dxa"/>
            <w:gridSpan w:val="2"/>
            <w:shd w:val="clear" w:color="auto" w:fill="FFFFFF"/>
            <w:vAlign w:val="center"/>
          </w:tcPr>
          <w:p w14:paraId="263F32E0"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hAnsi="Times New Roman" w:cs="Times New Roman"/>
                <w:sz w:val="19"/>
                <w:szCs w:val="19"/>
              </w:rPr>
              <w:t>104,28</w:t>
            </w:r>
          </w:p>
        </w:tc>
        <w:tc>
          <w:tcPr>
            <w:tcW w:w="761" w:type="dxa"/>
            <w:gridSpan w:val="2"/>
            <w:shd w:val="clear" w:color="auto" w:fill="FFFFFF"/>
            <w:vAlign w:val="center"/>
          </w:tcPr>
          <w:p w14:paraId="618F80E8"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hAnsi="Times New Roman" w:cs="Times New Roman"/>
                <w:sz w:val="19"/>
                <w:szCs w:val="19"/>
              </w:rPr>
              <w:t>104,28</w:t>
            </w:r>
          </w:p>
        </w:tc>
        <w:tc>
          <w:tcPr>
            <w:tcW w:w="760" w:type="dxa"/>
            <w:gridSpan w:val="4"/>
            <w:shd w:val="clear" w:color="auto" w:fill="FFFFFF"/>
            <w:vAlign w:val="center"/>
          </w:tcPr>
          <w:p w14:paraId="595133B3"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hAnsi="Times New Roman" w:cs="Times New Roman"/>
                <w:sz w:val="19"/>
                <w:szCs w:val="19"/>
              </w:rPr>
              <w:t>104,28</w:t>
            </w:r>
          </w:p>
        </w:tc>
        <w:tc>
          <w:tcPr>
            <w:tcW w:w="760" w:type="dxa"/>
            <w:gridSpan w:val="2"/>
            <w:shd w:val="clear" w:color="auto" w:fill="FFFFFF"/>
            <w:vAlign w:val="center"/>
          </w:tcPr>
          <w:p w14:paraId="1B3937B1"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hAnsi="Times New Roman" w:cs="Times New Roman"/>
                <w:sz w:val="19"/>
                <w:szCs w:val="19"/>
              </w:rPr>
              <w:t>104,28</w:t>
            </w:r>
          </w:p>
        </w:tc>
        <w:tc>
          <w:tcPr>
            <w:tcW w:w="760" w:type="dxa"/>
            <w:gridSpan w:val="3"/>
            <w:shd w:val="clear" w:color="auto" w:fill="FFFFFF"/>
            <w:vAlign w:val="center"/>
          </w:tcPr>
          <w:p w14:paraId="7D1A36B9"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hAnsi="Times New Roman" w:cs="Times New Roman"/>
                <w:sz w:val="19"/>
                <w:szCs w:val="19"/>
              </w:rPr>
              <w:t>104,28</w:t>
            </w:r>
          </w:p>
        </w:tc>
        <w:tc>
          <w:tcPr>
            <w:tcW w:w="761" w:type="dxa"/>
            <w:gridSpan w:val="4"/>
            <w:shd w:val="clear" w:color="auto" w:fill="FFFFFF"/>
            <w:vAlign w:val="center"/>
          </w:tcPr>
          <w:p w14:paraId="71B2449A"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hAnsi="Times New Roman" w:cs="Times New Roman"/>
                <w:sz w:val="19"/>
                <w:szCs w:val="19"/>
              </w:rPr>
              <w:t>104,28</w:t>
            </w:r>
          </w:p>
        </w:tc>
        <w:tc>
          <w:tcPr>
            <w:tcW w:w="760" w:type="dxa"/>
            <w:shd w:val="clear" w:color="auto" w:fill="FFFFFF"/>
            <w:vAlign w:val="center"/>
          </w:tcPr>
          <w:p w14:paraId="5EFEA947"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hAnsi="Times New Roman" w:cs="Times New Roman"/>
                <w:sz w:val="19"/>
                <w:szCs w:val="19"/>
              </w:rPr>
              <w:t>104,28</w:t>
            </w:r>
          </w:p>
        </w:tc>
        <w:tc>
          <w:tcPr>
            <w:tcW w:w="760" w:type="dxa"/>
            <w:gridSpan w:val="2"/>
            <w:shd w:val="clear" w:color="auto" w:fill="FFFFFF"/>
            <w:vAlign w:val="center"/>
          </w:tcPr>
          <w:p w14:paraId="6AB0E0D5"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hAnsi="Times New Roman" w:cs="Times New Roman"/>
                <w:sz w:val="19"/>
                <w:szCs w:val="19"/>
              </w:rPr>
              <w:t>104,28</w:t>
            </w:r>
          </w:p>
        </w:tc>
        <w:tc>
          <w:tcPr>
            <w:tcW w:w="761" w:type="dxa"/>
            <w:gridSpan w:val="2"/>
            <w:shd w:val="clear" w:color="auto" w:fill="FFFFFF"/>
            <w:vAlign w:val="center"/>
          </w:tcPr>
          <w:p w14:paraId="1EAE35A1"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hAnsi="Times New Roman" w:cs="Times New Roman"/>
                <w:sz w:val="19"/>
                <w:szCs w:val="19"/>
              </w:rPr>
              <w:t>104,28</w:t>
            </w:r>
          </w:p>
        </w:tc>
        <w:tc>
          <w:tcPr>
            <w:tcW w:w="995" w:type="dxa"/>
            <w:gridSpan w:val="2"/>
            <w:shd w:val="clear" w:color="auto" w:fill="FFFFFF"/>
            <w:vAlign w:val="center"/>
          </w:tcPr>
          <w:p w14:paraId="1C4C2AB2"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hAnsi="Times New Roman" w:cs="Times New Roman"/>
                <w:sz w:val="19"/>
                <w:szCs w:val="19"/>
              </w:rPr>
              <w:t>1103,65</w:t>
            </w:r>
          </w:p>
        </w:tc>
      </w:tr>
      <w:tr w:rsidR="002477A9" w:rsidRPr="00442C01" w14:paraId="1C13E9F0" w14:textId="77777777" w:rsidTr="00C50E6B">
        <w:trPr>
          <w:trHeight w:val="330"/>
        </w:trPr>
        <w:tc>
          <w:tcPr>
            <w:tcW w:w="1589" w:type="dxa"/>
            <w:shd w:val="clear" w:color="auto" w:fill="FFFFFF"/>
            <w:vAlign w:val="center"/>
          </w:tcPr>
          <w:p w14:paraId="1C18521A" w14:textId="77777777" w:rsidR="002477A9" w:rsidRPr="00C47C21" w:rsidRDefault="002477A9" w:rsidP="00FF07A3">
            <w:pPr>
              <w:spacing w:after="0" w:line="240" w:lineRule="auto"/>
              <w:jc w:val="center"/>
              <w:rPr>
                <w:rFonts w:ascii="Times New Roman" w:eastAsia="Calibri" w:hAnsi="Times New Roman" w:cs="Times New Roman"/>
                <w:color w:val="000000"/>
              </w:rPr>
            </w:pPr>
            <w:r w:rsidRPr="00C47C21">
              <w:rPr>
                <w:rFonts w:ascii="Times New Roman" w:eastAsia="Calibri" w:hAnsi="Times New Roman" w:cs="Times New Roman"/>
                <w:color w:val="000000"/>
              </w:rPr>
              <w:t>budżet państwa</w:t>
            </w:r>
          </w:p>
        </w:tc>
        <w:tc>
          <w:tcPr>
            <w:tcW w:w="760" w:type="dxa"/>
            <w:gridSpan w:val="2"/>
            <w:shd w:val="clear" w:color="auto" w:fill="FFFFFF"/>
            <w:vAlign w:val="center"/>
          </w:tcPr>
          <w:p w14:paraId="6C127739"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gridSpan w:val="2"/>
            <w:shd w:val="clear" w:color="auto" w:fill="FFFFFF"/>
            <w:vAlign w:val="center"/>
          </w:tcPr>
          <w:p w14:paraId="1B74C65D"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gridSpan w:val="2"/>
            <w:shd w:val="clear" w:color="auto" w:fill="FFFFFF"/>
            <w:vAlign w:val="center"/>
          </w:tcPr>
          <w:p w14:paraId="69EA8C9D"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1" w:type="dxa"/>
            <w:gridSpan w:val="2"/>
            <w:shd w:val="clear" w:color="auto" w:fill="FFFFFF"/>
            <w:vAlign w:val="center"/>
          </w:tcPr>
          <w:p w14:paraId="66215107"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gridSpan w:val="4"/>
            <w:shd w:val="clear" w:color="auto" w:fill="FFFFFF"/>
            <w:vAlign w:val="center"/>
          </w:tcPr>
          <w:p w14:paraId="272E6C43"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gridSpan w:val="2"/>
            <w:shd w:val="clear" w:color="auto" w:fill="FFFFFF"/>
            <w:vAlign w:val="center"/>
          </w:tcPr>
          <w:p w14:paraId="3AFBFD56"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gridSpan w:val="3"/>
            <w:shd w:val="clear" w:color="auto" w:fill="FFFFFF"/>
            <w:vAlign w:val="center"/>
          </w:tcPr>
          <w:p w14:paraId="7032B284"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1" w:type="dxa"/>
            <w:gridSpan w:val="4"/>
            <w:shd w:val="clear" w:color="auto" w:fill="FFFFFF"/>
            <w:vAlign w:val="center"/>
          </w:tcPr>
          <w:p w14:paraId="63F76FD5"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shd w:val="clear" w:color="auto" w:fill="FFFFFF"/>
            <w:vAlign w:val="center"/>
          </w:tcPr>
          <w:p w14:paraId="268A1E37"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gridSpan w:val="2"/>
            <w:shd w:val="clear" w:color="auto" w:fill="FFFFFF"/>
            <w:vAlign w:val="center"/>
          </w:tcPr>
          <w:p w14:paraId="1BB5E3AC"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1" w:type="dxa"/>
            <w:gridSpan w:val="2"/>
            <w:shd w:val="clear" w:color="auto" w:fill="FFFFFF"/>
            <w:vAlign w:val="center"/>
          </w:tcPr>
          <w:p w14:paraId="2BEC0019"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995" w:type="dxa"/>
            <w:gridSpan w:val="2"/>
            <w:shd w:val="clear" w:color="auto" w:fill="FFFFFF"/>
            <w:vAlign w:val="center"/>
          </w:tcPr>
          <w:p w14:paraId="17CC84EB"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r>
      <w:tr w:rsidR="002477A9" w:rsidRPr="00442C01" w14:paraId="132A5E13" w14:textId="77777777" w:rsidTr="00C50E6B">
        <w:trPr>
          <w:trHeight w:val="351"/>
        </w:trPr>
        <w:tc>
          <w:tcPr>
            <w:tcW w:w="1589" w:type="dxa"/>
            <w:shd w:val="clear" w:color="auto" w:fill="FFFFFF"/>
            <w:vAlign w:val="center"/>
          </w:tcPr>
          <w:p w14:paraId="4302695D" w14:textId="77777777" w:rsidR="002477A9" w:rsidRPr="00C47C21" w:rsidRDefault="002477A9" w:rsidP="00FF07A3">
            <w:pPr>
              <w:spacing w:after="0" w:line="240" w:lineRule="auto"/>
              <w:jc w:val="center"/>
              <w:rPr>
                <w:rFonts w:ascii="Times New Roman" w:eastAsia="Calibri" w:hAnsi="Times New Roman" w:cs="Times New Roman"/>
                <w:color w:val="000000"/>
              </w:rPr>
            </w:pPr>
            <w:r w:rsidRPr="00C47C21">
              <w:rPr>
                <w:rFonts w:ascii="Times New Roman" w:eastAsia="Calibri" w:hAnsi="Times New Roman" w:cs="Times New Roman"/>
                <w:color w:val="000000"/>
              </w:rPr>
              <w:t>JST</w:t>
            </w:r>
          </w:p>
        </w:tc>
        <w:tc>
          <w:tcPr>
            <w:tcW w:w="760" w:type="dxa"/>
            <w:gridSpan w:val="2"/>
            <w:shd w:val="clear" w:color="auto" w:fill="FFFFFF"/>
            <w:vAlign w:val="center"/>
          </w:tcPr>
          <w:p w14:paraId="4E90F212"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gridSpan w:val="2"/>
            <w:shd w:val="clear" w:color="auto" w:fill="FFFFFF"/>
            <w:vAlign w:val="center"/>
          </w:tcPr>
          <w:p w14:paraId="29A37BD9"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gridSpan w:val="2"/>
            <w:shd w:val="clear" w:color="auto" w:fill="FFFFFF"/>
            <w:vAlign w:val="center"/>
          </w:tcPr>
          <w:p w14:paraId="7FD30F77"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1" w:type="dxa"/>
            <w:gridSpan w:val="2"/>
            <w:shd w:val="clear" w:color="auto" w:fill="FFFFFF"/>
            <w:vAlign w:val="center"/>
          </w:tcPr>
          <w:p w14:paraId="5F054E0D"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gridSpan w:val="4"/>
            <w:shd w:val="clear" w:color="auto" w:fill="FFFFFF"/>
            <w:vAlign w:val="center"/>
          </w:tcPr>
          <w:p w14:paraId="69903272"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gridSpan w:val="2"/>
            <w:shd w:val="clear" w:color="auto" w:fill="FFFFFF"/>
            <w:vAlign w:val="center"/>
          </w:tcPr>
          <w:p w14:paraId="5BEC2491"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gridSpan w:val="3"/>
            <w:shd w:val="clear" w:color="auto" w:fill="FFFFFF"/>
            <w:vAlign w:val="center"/>
          </w:tcPr>
          <w:p w14:paraId="0D43B0C3"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1" w:type="dxa"/>
            <w:gridSpan w:val="4"/>
            <w:shd w:val="clear" w:color="auto" w:fill="FFFFFF"/>
            <w:vAlign w:val="center"/>
          </w:tcPr>
          <w:p w14:paraId="78E0D365"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shd w:val="clear" w:color="auto" w:fill="FFFFFF"/>
            <w:vAlign w:val="center"/>
          </w:tcPr>
          <w:p w14:paraId="641AD07C"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gridSpan w:val="2"/>
            <w:shd w:val="clear" w:color="auto" w:fill="FFFFFF"/>
            <w:vAlign w:val="center"/>
          </w:tcPr>
          <w:p w14:paraId="73BD1C8E"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1" w:type="dxa"/>
            <w:gridSpan w:val="2"/>
            <w:shd w:val="clear" w:color="auto" w:fill="FFFFFF"/>
            <w:vAlign w:val="center"/>
          </w:tcPr>
          <w:p w14:paraId="38FD68ED"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995" w:type="dxa"/>
            <w:gridSpan w:val="2"/>
            <w:shd w:val="clear" w:color="auto" w:fill="FFFFFF"/>
            <w:vAlign w:val="center"/>
          </w:tcPr>
          <w:p w14:paraId="6CAF10F4"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r>
      <w:tr w:rsidR="002477A9" w:rsidRPr="00442C01" w14:paraId="336E8886" w14:textId="77777777" w:rsidTr="00C50E6B">
        <w:trPr>
          <w:trHeight w:val="351"/>
        </w:trPr>
        <w:tc>
          <w:tcPr>
            <w:tcW w:w="1589" w:type="dxa"/>
            <w:shd w:val="clear" w:color="auto" w:fill="FFFFFF"/>
            <w:vAlign w:val="center"/>
          </w:tcPr>
          <w:p w14:paraId="5B67B513" w14:textId="77777777" w:rsidR="002477A9" w:rsidRPr="00C47C21" w:rsidRDefault="002477A9" w:rsidP="00FF07A3">
            <w:pPr>
              <w:spacing w:after="0" w:line="240" w:lineRule="auto"/>
              <w:jc w:val="center"/>
              <w:rPr>
                <w:rFonts w:ascii="Times New Roman" w:eastAsia="Calibri" w:hAnsi="Times New Roman" w:cs="Times New Roman"/>
                <w:color w:val="000000"/>
              </w:rPr>
            </w:pPr>
            <w:r w:rsidRPr="00C47C21">
              <w:rPr>
                <w:rFonts w:ascii="Times New Roman" w:eastAsia="Calibri" w:hAnsi="Times New Roman" w:cs="Times New Roman"/>
                <w:color w:val="000000"/>
              </w:rPr>
              <w:t>Narodowy Fundusz Zdrowia</w:t>
            </w:r>
          </w:p>
        </w:tc>
        <w:tc>
          <w:tcPr>
            <w:tcW w:w="760" w:type="dxa"/>
            <w:gridSpan w:val="2"/>
            <w:shd w:val="clear" w:color="auto" w:fill="FFFFFF"/>
            <w:vAlign w:val="center"/>
          </w:tcPr>
          <w:p w14:paraId="349A8041"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hAnsi="Times New Roman" w:cs="Times New Roman"/>
                <w:color w:val="000000"/>
                <w:sz w:val="19"/>
                <w:szCs w:val="19"/>
              </w:rPr>
              <w:t>64,9</w:t>
            </w:r>
          </w:p>
        </w:tc>
        <w:tc>
          <w:tcPr>
            <w:tcW w:w="760" w:type="dxa"/>
            <w:gridSpan w:val="2"/>
            <w:shd w:val="clear" w:color="auto" w:fill="FFFFFF"/>
            <w:vAlign w:val="center"/>
          </w:tcPr>
          <w:p w14:paraId="26371C1A"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hAnsi="Times New Roman" w:cs="Times New Roman"/>
                <w:color w:val="000000"/>
                <w:sz w:val="19"/>
                <w:szCs w:val="19"/>
              </w:rPr>
              <w:t>100,23</w:t>
            </w:r>
          </w:p>
        </w:tc>
        <w:tc>
          <w:tcPr>
            <w:tcW w:w="760" w:type="dxa"/>
            <w:gridSpan w:val="2"/>
            <w:shd w:val="clear" w:color="auto" w:fill="FFFFFF"/>
            <w:vAlign w:val="center"/>
          </w:tcPr>
          <w:p w14:paraId="2B3DC6CC"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hAnsi="Times New Roman" w:cs="Times New Roman"/>
                <w:color w:val="000000"/>
                <w:sz w:val="19"/>
                <w:szCs w:val="19"/>
              </w:rPr>
              <w:t>104,28</w:t>
            </w:r>
          </w:p>
        </w:tc>
        <w:tc>
          <w:tcPr>
            <w:tcW w:w="761" w:type="dxa"/>
            <w:gridSpan w:val="2"/>
            <w:shd w:val="clear" w:color="auto" w:fill="FFFFFF"/>
            <w:vAlign w:val="center"/>
          </w:tcPr>
          <w:p w14:paraId="7C00402B"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hAnsi="Times New Roman" w:cs="Times New Roman"/>
                <w:color w:val="000000"/>
                <w:sz w:val="19"/>
                <w:szCs w:val="19"/>
              </w:rPr>
              <w:t>104,28</w:t>
            </w:r>
          </w:p>
        </w:tc>
        <w:tc>
          <w:tcPr>
            <w:tcW w:w="760" w:type="dxa"/>
            <w:gridSpan w:val="4"/>
            <w:shd w:val="clear" w:color="auto" w:fill="FFFFFF"/>
            <w:vAlign w:val="center"/>
          </w:tcPr>
          <w:p w14:paraId="30AABD70"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hAnsi="Times New Roman" w:cs="Times New Roman"/>
                <w:color w:val="000000"/>
                <w:sz w:val="19"/>
                <w:szCs w:val="19"/>
              </w:rPr>
              <w:t>104,28</w:t>
            </w:r>
          </w:p>
        </w:tc>
        <w:tc>
          <w:tcPr>
            <w:tcW w:w="760" w:type="dxa"/>
            <w:gridSpan w:val="2"/>
            <w:shd w:val="clear" w:color="auto" w:fill="FFFFFF"/>
            <w:vAlign w:val="center"/>
          </w:tcPr>
          <w:p w14:paraId="2132496E"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hAnsi="Times New Roman" w:cs="Times New Roman"/>
                <w:color w:val="000000"/>
                <w:sz w:val="19"/>
                <w:szCs w:val="19"/>
              </w:rPr>
              <w:t>104,28</w:t>
            </w:r>
          </w:p>
        </w:tc>
        <w:tc>
          <w:tcPr>
            <w:tcW w:w="760" w:type="dxa"/>
            <w:gridSpan w:val="3"/>
            <w:shd w:val="clear" w:color="auto" w:fill="FFFFFF"/>
            <w:vAlign w:val="center"/>
          </w:tcPr>
          <w:p w14:paraId="2137CF57"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hAnsi="Times New Roman" w:cs="Times New Roman"/>
                <w:color w:val="000000"/>
                <w:sz w:val="19"/>
                <w:szCs w:val="19"/>
              </w:rPr>
              <w:t>104,28</w:t>
            </w:r>
          </w:p>
        </w:tc>
        <w:tc>
          <w:tcPr>
            <w:tcW w:w="761" w:type="dxa"/>
            <w:gridSpan w:val="4"/>
            <w:shd w:val="clear" w:color="auto" w:fill="FFFFFF"/>
            <w:vAlign w:val="center"/>
          </w:tcPr>
          <w:p w14:paraId="7519EFEE"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hAnsi="Times New Roman" w:cs="Times New Roman"/>
                <w:color w:val="000000"/>
                <w:sz w:val="19"/>
                <w:szCs w:val="19"/>
              </w:rPr>
              <w:t>104,28</w:t>
            </w:r>
          </w:p>
        </w:tc>
        <w:tc>
          <w:tcPr>
            <w:tcW w:w="760" w:type="dxa"/>
            <w:shd w:val="clear" w:color="auto" w:fill="FFFFFF"/>
            <w:vAlign w:val="center"/>
          </w:tcPr>
          <w:p w14:paraId="7F16678E"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hAnsi="Times New Roman" w:cs="Times New Roman"/>
                <w:color w:val="000000"/>
                <w:sz w:val="19"/>
                <w:szCs w:val="19"/>
              </w:rPr>
              <w:t>104,28</w:t>
            </w:r>
          </w:p>
        </w:tc>
        <w:tc>
          <w:tcPr>
            <w:tcW w:w="760" w:type="dxa"/>
            <w:gridSpan w:val="2"/>
            <w:shd w:val="clear" w:color="auto" w:fill="FFFFFF"/>
            <w:vAlign w:val="center"/>
          </w:tcPr>
          <w:p w14:paraId="198FBA95"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hAnsi="Times New Roman" w:cs="Times New Roman"/>
                <w:color w:val="000000"/>
                <w:sz w:val="19"/>
                <w:szCs w:val="19"/>
              </w:rPr>
              <w:t>104,28</w:t>
            </w:r>
          </w:p>
        </w:tc>
        <w:tc>
          <w:tcPr>
            <w:tcW w:w="761" w:type="dxa"/>
            <w:gridSpan w:val="2"/>
            <w:shd w:val="clear" w:color="auto" w:fill="FFFFFF"/>
            <w:vAlign w:val="center"/>
          </w:tcPr>
          <w:p w14:paraId="39F5B3AE"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hAnsi="Times New Roman" w:cs="Times New Roman"/>
                <w:color w:val="000000"/>
                <w:sz w:val="19"/>
                <w:szCs w:val="19"/>
              </w:rPr>
              <w:t>104,28</w:t>
            </w:r>
          </w:p>
        </w:tc>
        <w:tc>
          <w:tcPr>
            <w:tcW w:w="995" w:type="dxa"/>
            <w:gridSpan w:val="2"/>
            <w:shd w:val="clear" w:color="auto" w:fill="FFFFFF"/>
            <w:vAlign w:val="center"/>
          </w:tcPr>
          <w:p w14:paraId="21FAF3FA"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hAnsi="Times New Roman" w:cs="Times New Roman"/>
                <w:color w:val="000000"/>
                <w:sz w:val="19"/>
                <w:szCs w:val="19"/>
              </w:rPr>
              <w:t>1103,65</w:t>
            </w:r>
          </w:p>
        </w:tc>
      </w:tr>
      <w:tr w:rsidR="002477A9" w:rsidRPr="00442C01" w14:paraId="0405A969" w14:textId="77777777" w:rsidTr="00C50E6B">
        <w:trPr>
          <w:trHeight w:val="360"/>
        </w:trPr>
        <w:tc>
          <w:tcPr>
            <w:tcW w:w="1589" w:type="dxa"/>
            <w:shd w:val="clear" w:color="auto" w:fill="FFFFFF"/>
            <w:vAlign w:val="center"/>
          </w:tcPr>
          <w:p w14:paraId="32785A31" w14:textId="77777777" w:rsidR="002477A9" w:rsidRPr="00C47C21" w:rsidRDefault="002477A9" w:rsidP="00FF07A3">
            <w:pPr>
              <w:spacing w:after="0" w:line="240" w:lineRule="auto"/>
              <w:jc w:val="center"/>
              <w:rPr>
                <w:rFonts w:ascii="Times New Roman" w:eastAsia="Calibri" w:hAnsi="Times New Roman" w:cs="Times New Roman"/>
                <w:color w:val="000000"/>
              </w:rPr>
            </w:pPr>
            <w:r w:rsidRPr="00C47C21">
              <w:rPr>
                <w:rFonts w:ascii="Times New Roman" w:eastAsia="Calibri" w:hAnsi="Times New Roman" w:cs="Times New Roman"/>
                <w:b/>
                <w:color w:val="000000"/>
              </w:rPr>
              <w:t>Saldo ogółem</w:t>
            </w:r>
          </w:p>
        </w:tc>
        <w:tc>
          <w:tcPr>
            <w:tcW w:w="760" w:type="dxa"/>
            <w:gridSpan w:val="2"/>
            <w:shd w:val="clear" w:color="auto" w:fill="FFFFFF"/>
            <w:vAlign w:val="center"/>
          </w:tcPr>
          <w:p w14:paraId="4E28D7A7"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hAnsi="Times New Roman" w:cs="Times New Roman"/>
                <w:color w:val="000000"/>
                <w:sz w:val="19"/>
                <w:szCs w:val="19"/>
              </w:rPr>
              <w:t>-64,9</w:t>
            </w:r>
          </w:p>
        </w:tc>
        <w:tc>
          <w:tcPr>
            <w:tcW w:w="760" w:type="dxa"/>
            <w:gridSpan w:val="2"/>
            <w:shd w:val="clear" w:color="auto" w:fill="FFFFFF"/>
            <w:vAlign w:val="center"/>
          </w:tcPr>
          <w:p w14:paraId="0FE5F0F2"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hAnsi="Times New Roman" w:cs="Times New Roman"/>
                <w:color w:val="000000"/>
                <w:sz w:val="19"/>
                <w:szCs w:val="19"/>
              </w:rPr>
              <w:t>-100,23</w:t>
            </w:r>
          </w:p>
        </w:tc>
        <w:tc>
          <w:tcPr>
            <w:tcW w:w="760" w:type="dxa"/>
            <w:gridSpan w:val="2"/>
            <w:shd w:val="clear" w:color="auto" w:fill="FFFFFF"/>
            <w:vAlign w:val="center"/>
          </w:tcPr>
          <w:p w14:paraId="03592E23"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hAnsi="Times New Roman" w:cs="Times New Roman"/>
                <w:color w:val="000000"/>
                <w:sz w:val="19"/>
                <w:szCs w:val="19"/>
              </w:rPr>
              <w:t>-104,28</w:t>
            </w:r>
          </w:p>
        </w:tc>
        <w:tc>
          <w:tcPr>
            <w:tcW w:w="761" w:type="dxa"/>
            <w:gridSpan w:val="2"/>
            <w:shd w:val="clear" w:color="auto" w:fill="FFFFFF"/>
            <w:vAlign w:val="center"/>
          </w:tcPr>
          <w:p w14:paraId="0F4BAD5D"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hAnsi="Times New Roman" w:cs="Times New Roman"/>
                <w:color w:val="000000"/>
                <w:sz w:val="19"/>
                <w:szCs w:val="19"/>
              </w:rPr>
              <w:t>-104,28</w:t>
            </w:r>
          </w:p>
        </w:tc>
        <w:tc>
          <w:tcPr>
            <w:tcW w:w="760" w:type="dxa"/>
            <w:gridSpan w:val="4"/>
            <w:shd w:val="clear" w:color="auto" w:fill="FFFFFF"/>
            <w:vAlign w:val="center"/>
          </w:tcPr>
          <w:p w14:paraId="6546888C"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hAnsi="Times New Roman" w:cs="Times New Roman"/>
                <w:color w:val="000000"/>
                <w:sz w:val="19"/>
                <w:szCs w:val="19"/>
              </w:rPr>
              <w:t>-104,28</w:t>
            </w:r>
          </w:p>
        </w:tc>
        <w:tc>
          <w:tcPr>
            <w:tcW w:w="760" w:type="dxa"/>
            <w:gridSpan w:val="2"/>
            <w:shd w:val="clear" w:color="auto" w:fill="FFFFFF"/>
            <w:vAlign w:val="center"/>
          </w:tcPr>
          <w:p w14:paraId="5DF152CD"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hAnsi="Times New Roman" w:cs="Times New Roman"/>
                <w:color w:val="000000"/>
                <w:sz w:val="19"/>
                <w:szCs w:val="19"/>
              </w:rPr>
              <w:t>-104,28</w:t>
            </w:r>
          </w:p>
        </w:tc>
        <w:tc>
          <w:tcPr>
            <w:tcW w:w="760" w:type="dxa"/>
            <w:gridSpan w:val="3"/>
            <w:shd w:val="clear" w:color="auto" w:fill="FFFFFF"/>
            <w:vAlign w:val="center"/>
          </w:tcPr>
          <w:p w14:paraId="0E026A8D"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hAnsi="Times New Roman" w:cs="Times New Roman"/>
                <w:color w:val="000000"/>
                <w:sz w:val="19"/>
                <w:szCs w:val="19"/>
              </w:rPr>
              <w:t>-104,28</w:t>
            </w:r>
          </w:p>
        </w:tc>
        <w:tc>
          <w:tcPr>
            <w:tcW w:w="761" w:type="dxa"/>
            <w:gridSpan w:val="4"/>
            <w:shd w:val="clear" w:color="auto" w:fill="FFFFFF"/>
            <w:vAlign w:val="center"/>
          </w:tcPr>
          <w:p w14:paraId="0DBE622A"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hAnsi="Times New Roman" w:cs="Times New Roman"/>
                <w:color w:val="000000"/>
                <w:sz w:val="19"/>
                <w:szCs w:val="19"/>
              </w:rPr>
              <w:t>-104,28</w:t>
            </w:r>
          </w:p>
        </w:tc>
        <w:tc>
          <w:tcPr>
            <w:tcW w:w="760" w:type="dxa"/>
            <w:shd w:val="clear" w:color="auto" w:fill="FFFFFF"/>
            <w:vAlign w:val="center"/>
          </w:tcPr>
          <w:p w14:paraId="5BC8AEE9"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hAnsi="Times New Roman" w:cs="Times New Roman"/>
                <w:color w:val="000000"/>
                <w:sz w:val="19"/>
                <w:szCs w:val="19"/>
              </w:rPr>
              <w:t>-104,28</w:t>
            </w:r>
          </w:p>
        </w:tc>
        <w:tc>
          <w:tcPr>
            <w:tcW w:w="760" w:type="dxa"/>
            <w:gridSpan w:val="2"/>
            <w:shd w:val="clear" w:color="auto" w:fill="FFFFFF"/>
            <w:vAlign w:val="center"/>
          </w:tcPr>
          <w:p w14:paraId="3CEB0FB0"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hAnsi="Times New Roman" w:cs="Times New Roman"/>
                <w:color w:val="000000"/>
                <w:sz w:val="19"/>
                <w:szCs w:val="19"/>
              </w:rPr>
              <w:t>-104,28</w:t>
            </w:r>
          </w:p>
        </w:tc>
        <w:tc>
          <w:tcPr>
            <w:tcW w:w="761" w:type="dxa"/>
            <w:gridSpan w:val="2"/>
            <w:shd w:val="clear" w:color="auto" w:fill="FFFFFF"/>
            <w:vAlign w:val="center"/>
          </w:tcPr>
          <w:p w14:paraId="20C5B41F"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hAnsi="Times New Roman" w:cs="Times New Roman"/>
                <w:color w:val="000000"/>
                <w:sz w:val="19"/>
                <w:szCs w:val="19"/>
              </w:rPr>
              <w:t>-104,28</w:t>
            </w:r>
          </w:p>
        </w:tc>
        <w:tc>
          <w:tcPr>
            <w:tcW w:w="995" w:type="dxa"/>
            <w:gridSpan w:val="2"/>
            <w:shd w:val="clear" w:color="auto" w:fill="FFFFFF"/>
            <w:vAlign w:val="center"/>
          </w:tcPr>
          <w:p w14:paraId="5B9BD34A"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hAnsi="Times New Roman" w:cs="Times New Roman"/>
                <w:color w:val="000000"/>
                <w:sz w:val="19"/>
                <w:szCs w:val="19"/>
              </w:rPr>
              <w:t>-1103,65</w:t>
            </w:r>
          </w:p>
        </w:tc>
      </w:tr>
      <w:tr w:rsidR="002477A9" w:rsidRPr="00442C01" w14:paraId="3BC2BBFA" w14:textId="77777777" w:rsidTr="00C50E6B">
        <w:trPr>
          <w:trHeight w:val="360"/>
        </w:trPr>
        <w:tc>
          <w:tcPr>
            <w:tcW w:w="1589" w:type="dxa"/>
            <w:shd w:val="clear" w:color="auto" w:fill="FFFFFF"/>
            <w:vAlign w:val="center"/>
          </w:tcPr>
          <w:p w14:paraId="6840C75B" w14:textId="77777777" w:rsidR="002477A9" w:rsidRPr="00C47C21" w:rsidRDefault="002477A9" w:rsidP="00FF07A3">
            <w:pPr>
              <w:spacing w:after="0" w:line="240" w:lineRule="auto"/>
              <w:jc w:val="center"/>
              <w:rPr>
                <w:rFonts w:ascii="Times New Roman" w:eastAsia="Calibri" w:hAnsi="Times New Roman" w:cs="Times New Roman"/>
                <w:color w:val="000000"/>
              </w:rPr>
            </w:pPr>
            <w:r w:rsidRPr="00C47C21">
              <w:rPr>
                <w:rFonts w:ascii="Times New Roman" w:eastAsia="Calibri" w:hAnsi="Times New Roman" w:cs="Times New Roman"/>
                <w:color w:val="000000"/>
              </w:rPr>
              <w:t>budżet państwa</w:t>
            </w:r>
          </w:p>
        </w:tc>
        <w:tc>
          <w:tcPr>
            <w:tcW w:w="760" w:type="dxa"/>
            <w:gridSpan w:val="2"/>
            <w:shd w:val="clear" w:color="auto" w:fill="FFFFFF"/>
            <w:vAlign w:val="center"/>
          </w:tcPr>
          <w:p w14:paraId="182CE054"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gridSpan w:val="2"/>
            <w:shd w:val="clear" w:color="auto" w:fill="FFFFFF"/>
            <w:vAlign w:val="center"/>
          </w:tcPr>
          <w:p w14:paraId="0CA6AA12"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gridSpan w:val="2"/>
            <w:shd w:val="clear" w:color="auto" w:fill="FFFFFF"/>
            <w:vAlign w:val="center"/>
          </w:tcPr>
          <w:p w14:paraId="70D726D0"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1" w:type="dxa"/>
            <w:gridSpan w:val="2"/>
            <w:shd w:val="clear" w:color="auto" w:fill="FFFFFF"/>
            <w:vAlign w:val="center"/>
          </w:tcPr>
          <w:p w14:paraId="08F8F533"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gridSpan w:val="4"/>
            <w:shd w:val="clear" w:color="auto" w:fill="FFFFFF"/>
            <w:vAlign w:val="center"/>
          </w:tcPr>
          <w:p w14:paraId="51E34DEA"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gridSpan w:val="2"/>
            <w:shd w:val="clear" w:color="auto" w:fill="FFFFFF"/>
            <w:vAlign w:val="center"/>
          </w:tcPr>
          <w:p w14:paraId="1830E02E"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gridSpan w:val="3"/>
            <w:shd w:val="clear" w:color="auto" w:fill="FFFFFF"/>
            <w:vAlign w:val="center"/>
          </w:tcPr>
          <w:p w14:paraId="2614F3D8"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1" w:type="dxa"/>
            <w:gridSpan w:val="4"/>
            <w:shd w:val="clear" w:color="auto" w:fill="FFFFFF"/>
            <w:vAlign w:val="center"/>
          </w:tcPr>
          <w:p w14:paraId="0CDB629D"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shd w:val="clear" w:color="auto" w:fill="FFFFFF"/>
            <w:vAlign w:val="center"/>
          </w:tcPr>
          <w:p w14:paraId="5762DCE7"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gridSpan w:val="2"/>
            <w:shd w:val="clear" w:color="auto" w:fill="FFFFFF"/>
            <w:vAlign w:val="center"/>
          </w:tcPr>
          <w:p w14:paraId="06C168C8"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1" w:type="dxa"/>
            <w:gridSpan w:val="2"/>
            <w:shd w:val="clear" w:color="auto" w:fill="FFFFFF"/>
            <w:vAlign w:val="center"/>
          </w:tcPr>
          <w:p w14:paraId="44DD727C"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995" w:type="dxa"/>
            <w:gridSpan w:val="2"/>
            <w:shd w:val="clear" w:color="auto" w:fill="FFFFFF"/>
            <w:vAlign w:val="center"/>
          </w:tcPr>
          <w:p w14:paraId="7E7DD0DD"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r>
      <w:tr w:rsidR="002477A9" w:rsidRPr="00442C01" w14:paraId="06AD3B83" w14:textId="77777777" w:rsidTr="00C50E6B">
        <w:trPr>
          <w:trHeight w:val="357"/>
        </w:trPr>
        <w:tc>
          <w:tcPr>
            <w:tcW w:w="1589" w:type="dxa"/>
            <w:shd w:val="clear" w:color="auto" w:fill="FFFFFF"/>
            <w:vAlign w:val="center"/>
          </w:tcPr>
          <w:p w14:paraId="38B22BE1" w14:textId="77777777" w:rsidR="002477A9" w:rsidRPr="00C47C21" w:rsidRDefault="002477A9" w:rsidP="00FF07A3">
            <w:pPr>
              <w:spacing w:after="0" w:line="240" w:lineRule="auto"/>
              <w:jc w:val="center"/>
              <w:rPr>
                <w:rFonts w:ascii="Times New Roman" w:eastAsia="Calibri" w:hAnsi="Times New Roman" w:cs="Times New Roman"/>
                <w:color w:val="000000"/>
              </w:rPr>
            </w:pPr>
            <w:r w:rsidRPr="00C47C21">
              <w:rPr>
                <w:rFonts w:ascii="Times New Roman" w:eastAsia="Calibri" w:hAnsi="Times New Roman" w:cs="Times New Roman"/>
                <w:color w:val="000000"/>
              </w:rPr>
              <w:t>JST</w:t>
            </w:r>
          </w:p>
        </w:tc>
        <w:tc>
          <w:tcPr>
            <w:tcW w:w="760" w:type="dxa"/>
            <w:gridSpan w:val="2"/>
            <w:shd w:val="clear" w:color="auto" w:fill="FFFFFF"/>
            <w:vAlign w:val="center"/>
          </w:tcPr>
          <w:p w14:paraId="264A2A36"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gridSpan w:val="2"/>
            <w:shd w:val="clear" w:color="auto" w:fill="FFFFFF"/>
            <w:vAlign w:val="center"/>
          </w:tcPr>
          <w:p w14:paraId="06421A6F"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gridSpan w:val="2"/>
            <w:shd w:val="clear" w:color="auto" w:fill="FFFFFF"/>
            <w:vAlign w:val="center"/>
          </w:tcPr>
          <w:p w14:paraId="30FCCC5F"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1" w:type="dxa"/>
            <w:gridSpan w:val="2"/>
            <w:shd w:val="clear" w:color="auto" w:fill="FFFFFF"/>
            <w:vAlign w:val="center"/>
          </w:tcPr>
          <w:p w14:paraId="6D392D41"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gridSpan w:val="4"/>
            <w:shd w:val="clear" w:color="auto" w:fill="FFFFFF"/>
            <w:vAlign w:val="center"/>
          </w:tcPr>
          <w:p w14:paraId="458A0129"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gridSpan w:val="2"/>
            <w:shd w:val="clear" w:color="auto" w:fill="FFFFFF"/>
            <w:vAlign w:val="center"/>
          </w:tcPr>
          <w:p w14:paraId="5A5B671F"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gridSpan w:val="3"/>
            <w:shd w:val="clear" w:color="auto" w:fill="FFFFFF"/>
            <w:vAlign w:val="center"/>
          </w:tcPr>
          <w:p w14:paraId="7F8FF94F"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1" w:type="dxa"/>
            <w:gridSpan w:val="4"/>
            <w:shd w:val="clear" w:color="auto" w:fill="FFFFFF"/>
            <w:vAlign w:val="center"/>
          </w:tcPr>
          <w:p w14:paraId="515C3EDD"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shd w:val="clear" w:color="auto" w:fill="FFFFFF"/>
            <w:vAlign w:val="center"/>
          </w:tcPr>
          <w:p w14:paraId="5AE4852B"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0" w:type="dxa"/>
            <w:gridSpan w:val="2"/>
            <w:shd w:val="clear" w:color="auto" w:fill="FFFFFF"/>
            <w:vAlign w:val="center"/>
          </w:tcPr>
          <w:p w14:paraId="0BD59725"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761" w:type="dxa"/>
            <w:gridSpan w:val="2"/>
            <w:shd w:val="clear" w:color="auto" w:fill="FFFFFF"/>
            <w:vAlign w:val="center"/>
          </w:tcPr>
          <w:p w14:paraId="1C1415B9"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c>
          <w:tcPr>
            <w:tcW w:w="995" w:type="dxa"/>
            <w:gridSpan w:val="2"/>
            <w:shd w:val="clear" w:color="auto" w:fill="FFFFFF"/>
            <w:vAlign w:val="center"/>
          </w:tcPr>
          <w:p w14:paraId="49922549"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eastAsia="Calibri" w:hAnsi="Times New Roman" w:cs="Times New Roman"/>
                <w:color w:val="000000"/>
                <w:sz w:val="19"/>
                <w:szCs w:val="19"/>
              </w:rPr>
              <w:t>0</w:t>
            </w:r>
          </w:p>
        </w:tc>
      </w:tr>
      <w:tr w:rsidR="002477A9" w:rsidRPr="00442C01" w14:paraId="1160DB14" w14:textId="77777777" w:rsidTr="00C50E6B">
        <w:trPr>
          <w:trHeight w:val="690"/>
        </w:trPr>
        <w:tc>
          <w:tcPr>
            <w:tcW w:w="1589" w:type="dxa"/>
            <w:shd w:val="clear" w:color="auto" w:fill="FFFFFF"/>
            <w:vAlign w:val="center"/>
          </w:tcPr>
          <w:p w14:paraId="3ED0C9D6" w14:textId="77777777" w:rsidR="002477A9" w:rsidRPr="00C47C21" w:rsidRDefault="002477A9" w:rsidP="00FF07A3">
            <w:pPr>
              <w:spacing w:after="0" w:line="240" w:lineRule="auto"/>
              <w:jc w:val="center"/>
              <w:rPr>
                <w:rFonts w:ascii="Times New Roman" w:eastAsia="Calibri" w:hAnsi="Times New Roman" w:cs="Times New Roman"/>
                <w:color w:val="000000"/>
              </w:rPr>
            </w:pPr>
            <w:r w:rsidRPr="00C47C21">
              <w:rPr>
                <w:rFonts w:ascii="Times New Roman" w:eastAsia="Calibri" w:hAnsi="Times New Roman" w:cs="Times New Roman"/>
                <w:color w:val="000000"/>
              </w:rPr>
              <w:t>Narodowy Fundusz Zdrowia</w:t>
            </w:r>
          </w:p>
        </w:tc>
        <w:tc>
          <w:tcPr>
            <w:tcW w:w="760" w:type="dxa"/>
            <w:gridSpan w:val="2"/>
            <w:shd w:val="clear" w:color="auto" w:fill="FFFFFF"/>
            <w:vAlign w:val="center"/>
          </w:tcPr>
          <w:p w14:paraId="6ADBE7E3"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hAnsi="Times New Roman" w:cs="Times New Roman"/>
                <w:color w:val="000000"/>
                <w:sz w:val="19"/>
                <w:szCs w:val="19"/>
              </w:rPr>
              <w:t>-64,9</w:t>
            </w:r>
          </w:p>
        </w:tc>
        <w:tc>
          <w:tcPr>
            <w:tcW w:w="760" w:type="dxa"/>
            <w:gridSpan w:val="2"/>
            <w:shd w:val="clear" w:color="auto" w:fill="FFFFFF"/>
            <w:vAlign w:val="center"/>
          </w:tcPr>
          <w:p w14:paraId="115BE4CE"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hAnsi="Times New Roman" w:cs="Times New Roman"/>
                <w:color w:val="000000"/>
                <w:sz w:val="19"/>
                <w:szCs w:val="19"/>
              </w:rPr>
              <w:t>-100,23</w:t>
            </w:r>
          </w:p>
        </w:tc>
        <w:tc>
          <w:tcPr>
            <w:tcW w:w="760" w:type="dxa"/>
            <w:gridSpan w:val="2"/>
            <w:shd w:val="clear" w:color="auto" w:fill="FFFFFF"/>
            <w:vAlign w:val="center"/>
          </w:tcPr>
          <w:p w14:paraId="0D6577B3"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hAnsi="Times New Roman" w:cs="Times New Roman"/>
                <w:color w:val="000000"/>
                <w:sz w:val="19"/>
                <w:szCs w:val="19"/>
              </w:rPr>
              <w:t>-104,28</w:t>
            </w:r>
          </w:p>
        </w:tc>
        <w:tc>
          <w:tcPr>
            <w:tcW w:w="761" w:type="dxa"/>
            <w:gridSpan w:val="2"/>
            <w:shd w:val="clear" w:color="auto" w:fill="FFFFFF"/>
            <w:vAlign w:val="center"/>
          </w:tcPr>
          <w:p w14:paraId="08ADBEBC"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hAnsi="Times New Roman" w:cs="Times New Roman"/>
                <w:color w:val="000000"/>
                <w:sz w:val="19"/>
                <w:szCs w:val="19"/>
              </w:rPr>
              <w:t>-104,28</w:t>
            </w:r>
          </w:p>
        </w:tc>
        <w:tc>
          <w:tcPr>
            <w:tcW w:w="760" w:type="dxa"/>
            <w:gridSpan w:val="4"/>
            <w:shd w:val="clear" w:color="auto" w:fill="FFFFFF"/>
            <w:vAlign w:val="center"/>
          </w:tcPr>
          <w:p w14:paraId="0C7AE853"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hAnsi="Times New Roman" w:cs="Times New Roman"/>
                <w:color w:val="000000"/>
                <w:sz w:val="19"/>
                <w:szCs w:val="19"/>
              </w:rPr>
              <w:t>-104,28</w:t>
            </w:r>
          </w:p>
        </w:tc>
        <w:tc>
          <w:tcPr>
            <w:tcW w:w="760" w:type="dxa"/>
            <w:gridSpan w:val="2"/>
            <w:shd w:val="clear" w:color="auto" w:fill="FFFFFF"/>
            <w:vAlign w:val="center"/>
          </w:tcPr>
          <w:p w14:paraId="622F6A34"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hAnsi="Times New Roman" w:cs="Times New Roman"/>
                <w:color w:val="000000"/>
                <w:sz w:val="19"/>
                <w:szCs w:val="19"/>
              </w:rPr>
              <w:t>-104,28</w:t>
            </w:r>
          </w:p>
        </w:tc>
        <w:tc>
          <w:tcPr>
            <w:tcW w:w="760" w:type="dxa"/>
            <w:gridSpan w:val="3"/>
            <w:shd w:val="clear" w:color="auto" w:fill="FFFFFF"/>
            <w:vAlign w:val="center"/>
          </w:tcPr>
          <w:p w14:paraId="500A339E" w14:textId="77777777" w:rsidR="002477A9" w:rsidRPr="00C50E6B" w:rsidRDefault="002477A9">
            <w:pPr>
              <w:spacing w:after="0"/>
              <w:jc w:val="center"/>
              <w:rPr>
                <w:rFonts w:ascii="Times New Roman" w:eastAsia="Calibri" w:hAnsi="Times New Roman" w:cs="Times New Roman"/>
                <w:sz w:val="19"/>
                <w:szCs w:val="19"/>
              </w:rPr>
            </w:pPr>
            <w:r w:rsidRPr="00C50E6B">
              <w:rPr>
                <w:rFonts w:ascii="Times New Roman" w:hAnsi="Times New Roman" w:cs="Times New Roman"/>
                <w:color w:val="000000"/>
                <w:sz w:val="19"/>
                <w:szCs w:val="19"/>
              </w:rPr>
              <w:t>-104,28</w:t>
            </w:r>
          </w:p>
        </w:tc>
        <w:tc>
          <w:tcPr>
            <w:tcW w:w="761" w:type="dxa"/>
            <w:gridSpan w:val="4"/>
            <w:shd w:val="clear" w:color="auto" w:fill="FFFFFF"/>
            <w:vAlign w:val="center"/>
          </w:tcPr>
          <w:p w14:paraId="326B0F5D" w14:textId="77777777" w:rsidR="002477A9" w:rsidRPr="00C50E6B" w:rsidRDefault="002477A9">
            <w:pPr>
              <w:spacing w:after="0"/>
              <w:jc w:val="center"/>
              <w:rPr>
                <w:rFonts w:ascii="Times New Roman" w:eastAsia="Calibri" w:hAnsi="Times New Roman" w:cs="Times New Roman"/>
                <w:sz w:val="19"/>
                <w:szCs w:val="19"/>
              </w:rPr>
            </w:pPr>
            <w:r w:rsidRPr="00C50E6B">
              <w:rPr>
                <w:rFonts w:ascii="Times New Roman" w:hAnsi="Times New Roman" w:cs="Times New Roman"/>
                <w:color w:val="000000"/>
                <w:sz w:val="19"/>
                <w:szCs w:val="19"/>
              </w:rPr>
              <w:t>-104,28</w:t>
            </w:r>
          </w:p>
        </w:tc>
        <w:tc>
          <w:tcPr>
            <w:tcW w:w="760" w:type="dxa"/>
            <w:shd w:val="clear" w:color="auto" w:fill="FFFFFF"/>
            <w:vAlign w:val="center"/>
          </w:tcPr>
          <w:p w14:paraId="503929E4" w14:textId="77777777" w:rsidR="002477A9" w:rsidRPr="00C50E6B" w:rsidRDefault="002477A9">
            <w:pPr>
              <w:spacing w:after="0"/>
              <w:jc w:val="center"/>
              <w:rPr>
                <w:rFonts w:ascii="Times New Roman" w:eastAsia="Calibri" w:hAnsi="Times New Roman" w:cs="Times New Roman"/>
                <w:sz w:val="19"/>
                <w:szCs w:val="19"/>
              </w:rPr>
            </w:pPr>
            <w:r w:rsidRPr="00C50E6B">
              <w:rPr>
                <w:rFonts w:ascii="Times New Roman" w:hAnsi="Times New Roman" w:cs="Times New Roman"/>
                <w:color w:val="000000"/>
                <w:sz w:val="19"/>
                <w:szCs w:val="19"/>
              </w:rPr>
              <w:t>-104,28</w:t>
            </w:r>
          </w:p>
        </w:tc>
        <w:tc>
          <w:tcPr>
            <w:tcW w:w="760" w:type="dxa"/>
            <w:gridSpan w:val="2"/>
            <w:shd w:val="clear" w:color="auto" w:fill="FFFFFF"/>
            <w:vAlign w:val="center"/>
          </w:tcPr>
          <w:p w14:paraId="3C08F821" w14:textId="77777777" w:rsidR="002477A9" w:rsidRPr="00C50E6B" w:rsidRDefault="002477A9">
            <w:pPr>
              <w:spacing w:after="0"/>
              <w:jc w:val="center"/>
              <w:rPr>
                <w:rFonts w:ascii="Times New Roman" w:eastAsia="Calibri" w:hAnsi="Times New Roman" w:cs="Times New Roman"/>
                <w:sz w:val="19"/>
                <w:szCs w:val="19"/>
              </w:rPr>
            </w:pPr>
            <w:r w:rsidRPr="00C50E6B">
              <w:rPr>
                <w:rFonts w:ascii="Times New Roman" w:hAnsi="Times New Roman" w:cs="Times New Roman"/>
                <w:color w:val="000000"/>
                <w:sz w:val="19"/>
                <w:szCs w:val="19"/>
              </w:rPr>
              <w:t>-104,28</w:t>
            </w:r>
          </w:p>
        </w:tc>
        <w:tc>
          <w:tcPr>
            <w:tcW w:w="761" w:type="dxa"/>
            <w:gridSpan w:val="2"/>
            <w:shd w:val="clear" w:color="auto" w:fill="FFFFFF"/>
            <w:vAlign w:val="center"/>
          </w:tcPr>
          <w:p w14:paraId="3F23DDD5" w14:textId="77777777" w:rsidR="002477A9" w:rsidRPr="00C50E6B" w:rsidRDefault="002477A9">
            <w:pPr>
              <w:spacing w:after="0"/>
              <w:jc w:val="center"/>
              <w:rPr>
                <w:rFonts w:ascii="Times New Roman" w:eastAsia="Calibri" w:hAnsi="Times New Roman" w:cs="Times New Roman"/>
                <w:sz w:val="19"/>
                <w:szCs w:val="19"/>
              </w:rPr>
            </w:pPr>
            <w:r w:rsidRPr="00C50E6B">
              <w:rPr>
                <w:rFonts w:ascii="Times New Roman" w:hAnsi="Times New Roman" w:cs="Times New Roman"/>
                <w:color w:val="000000"/>
                <w:sz w:val="19"/>
                <w:szCs w:val="19"/>
              </w:rPr>
              <w:t>-104,28</w:t>
            </w:r>
          </w:p>
        </w:tc>
        <w:tc>
          <w:tcPr>
            <w:tcW w:w="995" w:type="dxa"/>
            <w:gridSpan w:val="2"/>
            <w:shd w:val="clear" w:color="auto" w:fill="FFFFFF"/>
            <w:vAlign w:val="center"/>
          </w:tcPr>
          <w:p w14:paraId="5E021808" w14:textId="77777777" w:rsidR="002477A9" w:rsidRPr="00C50E6B" w:rsidRDefault="002477A9">
            <w:pPr>
              <w:spacing w:after="0" w:line="240" w:lineRule="auto"/>
              <w:jc w:val="center"/>
              <w:rPr>
                <w:rFonts w:ascii="Times New Roman" w:eastAsia="Calibri" w:hAnsi="Times New Roman" w:cs="Times New Roman"/>
                <w:color w:val="000000"/>
                <w:sz w:val="19"/>
                <w:szCs w:val="19"/>
              </w:rPr>
            </w:pPr>
            <w:r w:rsidRPr="00C50E6B">
              <w:rPr>
                <w:rFonts w:ascii="Times New Roman" w:hAnsi="Times New Roman" w:cs="Times New Roman"/>
                <w:color w:val="000000"/>
                <w:sz w:val="19"/>
                <w:szCs w:val="19"/>
              </w:rPr>
              <w:t>-1103,65</w:t>
            </w:r>
          </w:p>
        </w:tc>
      </w:tr>
      <w:tr w:rsidR="002477A9" w:rsidRPr="00442C01" w14:paraId="56187B97" w14:textId="77777777" w:rsidTr="00C761E8">
        <w:trPr>
          <w:gridAfter w:val="1"/>
          <w:wAfter w:w="10" w:type="dxa"/>
          <w:trHeight w:val="782"/>
        </w:trPr>
        <w:tc>
          <w:tcPr>
            <w:tcW w:w="1589" w:type="dxa"/>
            <w:shd w:val="clear" w:color="auto" w:fill="FFFFFF"/>
            <w:vAlign w:val="center"/>
          </w:tcPr>
          <w:p w14:paraId="4BC13E85" w14:textId="77777777" w:rsidR="002477A9" w:rsidRPr="00442C01" w:rsidRDefault="002477A9" w:rsidP="00173D72">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t xml:space="preserve">Źródła finansowania </w:t>
            </w:r>
          </w:p>
        </w:tc>
        <w:tc>
          <w:tcPr>
            <w:tcW w:w="9348" w:type="dxa"/>
            <w:gridSpan w:val="27"/>
            <w:shd w:val="clear" w:color="auto" w:fill="FFFFFF"/>
            <w:vAlign w:val="center"/>
          </w:tcPr>
          <w:p w14:paraId="32CC00EC" w14:textId="38C1C7DC" w:rsidR="00523FA1" w:rsidRDefault="00523FA1" w:rsidP="00173D72">
            <w:pPr>
              <w:spacing w:after="0" w:line="240" w:lineRule="auto"/>
              <w:jc w:val="both"/>
              <w:rPr>
                <w:rFonts w:ascii="Times New Roman" w:eastAsia="Calibri" w:hAnsi="Times New Roman" w:cs="Times New Roman"/>
                <w:color w:val="000000"/>
              </w:rPr>
            </w:pPr>
            <w:r>
              <w:rPr>
                <w:rFonts w:ascii="Times New Roman" w:hAnsi="Times New Roman"/>
                <w:color w:val="000000"/>
              </w:rPr>
              <w:t>Projektowana zmiana nie będzie miała wpływu na budżet państwa i budżety jednostek samorządu terytorialnego. Będzie miała wpływ na budżet Narodowego Funduszu Zdrowia.</w:t>
            </w:r>
          </w:p>
          <w:p w14:paraId="3B08A7C1" w14:textId="666582AB" w:rsidR="002477A9" w:rsidRPr="00442C01" w:rsidRDefault="002477A9" w:rsidP="00173D72">
            <w:pPr>
              <w:spacing w:after="0" w:line="240" w:lineRule="auto"/>
              <w:jc w:val="both"/>
              <w:rPr>
                <w:rFonts w:ascii="Times New Roman" w:eastAsia="Calibri" w:hAnsi="Times New Roman" w:cs="Times New Roman"/>
                <w:color w:val="000000"/>
              </w:rPr>
            </w:pPr>
            <w:r w:rsidRPr="00C84EA5">
              <w:rPr>
                <w:rFonts w:ascii="Times New Roman" w:eastAsia="Calibri" w:hAnsi="Times New Roman" w:cs="Times New Roman"/>
                <w:color w:val="000000"/>
              </w:rPr>
              <w:t>Wygospodarowanie środków w ramach budżetu Narodowego Funduszu Zdrowia nastąpi przez zmianę alokacji środków przeznaczonych na finansowanie świadczeń gwarantowanych.</w:t>
            </w:r>
          </w:p>
        </w:tc>
      </w:tr>
      <w:tr w:rsidR="002477A9" w:rsidRPr="00442C01" w14:paraId="0B269EB2" w14:textId="77777777" w:rsidTr="00C761E8">
        <w:trPr>
          <w:gridAfter w:val="1"/>
          <w:wAfter w:w="10" w:type="dxa"/>
          <w:trHeight w:val="1271"/>
        </w:trPr>
        <w:tc>
          <w:tcPr>
            <w:tcW w:w="1589" w:type="dxa"/>
            <w:shd w:val="clear" w:color="auto" w:fill="FFFFFF"/>
          </w:tcPr>
          <w:p w14:paraId="044A3FF4" w14:textId="77777777" w:rsidR="002477A9" w:rsidRPr="00442C01" w:rsidRDefault="002477A9" w:rsidP="00173D72">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t>Dodatkowe informacje, w tym wskazanie źródeł danych i przyjętych do obliczeń założeń</w:t>
            </w:r>
          </w:p>
        </w:tc>
        <w:tc>
          <w:tcPr>
            <w:tcW w:w="9348" w:type="dxa"/>
            <w:gridSpan w:val="27"/>
            <w:shd w:val="clear" w:color="auto" w:fill="FFFFFF"/>
          </w:tcPr>
          <w:p w14:paraId="2F841CED" w14:textId="77777777" w:rsidR="002477A9" w:rsidRDefault="002477A9" w:rsidP="00173D72">
            <w:pPr>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Wpływ zakwalifikowania świadczeń opieki zdrowotnej jako świadczeń gwarantowanych na budżet Narodowego Funduszu Zdrowia został oszacowany na podstawie Rekomendacji Prezesa Agencji Oceny Technologii Medycznych i Taryfikacji.</w:t>
            </w:r>
          </w:p>
          <w:p w14:paraId="7A568D28" w14:textId="77777777" w:rsidR="002477A9" w:rsidRDefault="002477A9" w:rsidP="00173D72">
            <w:pPr>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Wpływ na budżet płatnika w poszczególnych latach dla kolejnych świadczeń gwarantowanych:</w:t>
            </w:r>
          </w:p>
          <w:p w14:paraId="6572284C" w14:textId="77777777" w:rsidR="002477A9" w:rsidRPr="000117E1" w:rsidRDefault="002477A9" w:rsidP="00173D72">
            <w:pPr>
              <w:pStyle w:val="Akapitzlist"/>
              <w:numPr>
                <w:ilvl w:val="0"/>
                <w:numId w:val="2"/>
              </w:numPr>
              <w:spacing w:after="0" w:line="240" w:lineRule="auto"/>
              <w:jc w:val="both"/>
              <w:rPr>
                <w:rFonts w:ascii="Times New Roman" w:eastAsia="Calibri" w:hAnsi="Times New Roman" w:cs="Times New Roman"/>
                <w:lang w:eastAsia="pl-PL"/>
              </w:rPr>
            </w:pPr>
            <w:proofErr w:type="spellStart"/>
            <w:r w:rsidRPr="00AA32F8">
              <w:rPr>
                <w:rFonts w:ascii="Times New Roman" w:eastAsia="Times New Roman" w:hAnsi="Times New Roman" w:cs="Times New Roman"/>
                <w:lang w:eastAsia="pl-PL"/>
              </w:rPr>
              <w:t>hemodiafiltracja</w:t>
            </w:r>
            <w:proofErr w:type="spellEnd"/>
            <w:r w:rsidRPr="00AA32F8">
              <w:rPr>
                <w:rFonts w:ascii="Times New Roman" w:eastAsia="Times New Roman" w:hAnsi="Times New Roman" w:cs="Times New Roman"/>
                <w:lang w:eastAsia="pl-PL"/>
              </w:rPr>
              <w:t xml:space="preserve"> (HDF)</w:t>
            </w:r>
            <w:r>
              <w:rPr>
                <w:rFonts w:ascii="Times New Roman" w:eastAsia="Times New Roman" w:hAnsi="Times New Roman" w:cs="Times New Roman"/>
                <w:lang w:eastAsia="pl-PL"/>
              </w:rPr>
              <w:t xml:space="preserve"> – na podstawie załącznika nr 2 wykorzystano </w:t>
            </w:r>
            <w:r w:rsidRPr="00B87202">
              <w:rPr>
                <w:rFonts w:ascii="Times New Roman" w:eastAsia="Times New Roman" w:hAnsi="Times New Roman" w:cs="Times New Roman"/>
                <w:lang w:eastAsia="pl-PL"/>
              </w:rPr>
              <w:t>oszacowani</w:t>
            </w:r>
            <w:r>
              <w:rPr>
                <w:rFonts w:ascii="Times New Roman" w:eastAsia="Times New Roman" w:hAnsi="Times New Roman" w:cs="Times New Roman"/>
                <w:lang w:eastAsia="pl-PL"/>
              </w:rPr>
              <w:t>e</w:t>
            </w:r>
            <w:r w:rsidRPr="00B8720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wpływu na budżet płatnika w scenariuszu podstawowym w 1. i 2. roku finansowania na poziomie odpowiednio: 53,5 mln i 85,7 mln; dla lat kolejnych przyjęto wydatki na poziomie  85,7 mln</w:t>
            </w:r>
          </w:p>
          <w:p w14:paraId="6780D3AF" w14:textId="77777777" w:rsidR="002477A9" w:rsidRPr="00AA32F8" w:rsidRDefault="002477A9" w:rsidP="00173D72">
            <w:pPr>
              <w:pStyle w:val="Akapitzlist"/>
              <w:numPr>
                <w:ilvl w:val="0"/>
                <w:numId w:val="2"/>
              </w:numPr>
              <w:spacing w:after="0" w:line="240" w:lineRule="auto"/>
              <w:jc w:val="both"/>
              <w:rPr>
                <w:rFonts w:ascii="Times New Roman" w:eastAsia="Calibri" w:hAnsi="Times New Roman" w:cs="Times New Roman"/>
                <w:lang w:eastAsia="pl-PL"/>
              </w:rPr>
            </w:pPr>
            <w:r w:rsidRPr="00AA32F8">
              <w:rPr>
                <w:rFonts w:ascii="Times New Roman" w:eastAsia="Times New Roman" w:hAnsi="Times New Roman" w:cs="Times New Roman"/>
                <w:lang w:eastAsia="pl-PL"/>
              </w:rPr>
              <w:t>zastosowanie  znakowanych radioizotopowo peptydów w leczeniu chorych na nieoperacyjne guzy neuroendokrynne</w:t>
            </w:r>
            <w:r>
              <w:rPr>
                <w:rFonts w:ascii="Times New Roman" w:eastAsia="Times New Roman" w:hAnsi="Times New Roman" w:cs="Times New Roman"/>
                <w:lang w:eastAsia="pl-PL"/>
              </w:rPr>
              <w:t xml:space="preserve"> – na podstawie załącznika nr 3 wykorzystano </w:t>
            </w:r>
            <w:r w:rsidRPr="00B87202">
              <w:rPr>
                <w:rFonts w:ascii="Times New Roman" w:eastAsia="Times New Roman" w:hAnsi="Times New Roman" w:cs="Times New Roman"/>
                <w:lang w:eastAsia="pl-PL"/>
              </w:rPr>
              <w:t>oszacowani</w:t>
            </w:r>
            <w:r>
              <w:rPr>
                <w:rFonts w:ascii="Times New Roman" w:eastAsia="Times New Roman" w:hAnsi="Times New Roman" w:cs="Times New Roman"/>
                <w:lang w:eastAsia="pl-PL"/>
              </w:rPr>
              <w:t>e</w:t>
            </w:r>
            <w:r w:rsidRPr="00B8720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wpływu na budżet płatnika w 1. i 2. roku finansowania na poziomie odpowiednio: 9,3 mln i 10,4 mln; dla lat kolejnych przyjęto wydatki na poziomie 10,4 mln</w:t>
            </w:r>
          </w:p>
          <w:p w14:paraId="5445C5E0" w14:textId="77777777" w:rsidR="002477A9" w:rsidRDefault="002477A9" w:rsidP="00173D72">
            <w:pPr>
              <w:pStyle w:val="Akapitzlist"/>
              <w:numPr>
                <w:ilvl w:val="0"/>
                <w:numId w:val="2"/>
              </w:numPr>
              <w:spacing w:after="0" w:line="240" w:lineRule="auto"/>
              <w:jc w:val="both"/>
              <w:rPr>
                <w:rFonts w:ascii="Times New Roman" w:eastAsia="Calibri" w:hAnsi="Times New Roman" w:cs="Times New Roman"/>
                <w:lang w:eastAsia="pl-PL"/>
              </w:rPr>
            </w:pPr>
            <w:r w:rsidRPr="00AA32F8">
              <w:rPr>
                <w:rFonts w:ascii="Times New Roman" w:eastAsia="Calibri" w:hAnsi="Times New Roman" w:cs="Times New Roman"/>
                <w:lang w:eastAsia="pl-PL"/>
              </w:rPr>
              <w:t xml:space="preserve">diagnostyka zaburzeń czynności układu pozapiramidowego w przebiegu schorzeń zwyrodnieniowych ośrodkowego układu nerwowego za pomocą </w:t>
            </w:r>
            <w:proofErr w:type="spellStart"/>
            <w:r w:rsidRPr="00AA32F8">
              <w:rPr>
                <w:rFonts w:ascii="Times New Roman" w:eastAsia="Calibri" w:hAnsi="Times New Roman" w:cs="Times New Roman"/>
                <w:lang w:eastAsia="pl-PL"/>
              </w:rPr>
              <w:t>radiofarmaceutyków</w:t>
            </w:r>
            <w:proofErr w:type="spellEnd"/>
            <w:r>
              <w:rPr>
                <w:rFonts w:ascii="Times New Roman" w:eastAsia="Calibri" w:hAnsi="Times New Roman" w:cs="Times New Roman"/>
                <w:lang w:eastAsia="pl-PL"/>
              </w:rPr>
              <w:t xml:space="preserve"> - </w:t>
            </w:r>
            <w:r>
              <w:rPr>
                <w:rFonts w:ascii="Times New Roman" w:eastAsia="Times New Roman" w:hAnsi="Times New Roman" w:cs="Times New Roman"/>
                <w:lang w:eastAsia="pl-PL"/>
              </w:rPr>
              <w:t xml:space="preserve">na podstawie załącznika nr 4 wykorzystano </w:t>
            </w:r>
            <w:r w:rsidRPr="00B87202">
              <w:rPr>
                <w:rFonts w:ascii="Times New Roman" w:eastAsia="Times New Roman" w:hAnsi="Times New Roman" w:cs="Times New Roman"/>
                <w:lang w:eastAsia="pl-PL"/>
              </w:rPr>
              <w:t>oszacowani</w:t>
            </w:r>
            <w:r>
              <w:rPr>
                <w:rFonts w:ascii="Times New Roman" w:eastAsia="Times New Roman" w:hAnsi="Times New Roman" w:cs="Times New Roman"/>
                <w:lang w:eastAsia="pl-PL"/>
              </w:rPr>
              <w:t>e</w:t>
            </w:r>
            <w:r w:rsidRPr="00B8720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wpływu na budżet płatnika w 1., 2. i 3. roku finansowania na poziomie odpowiednio: 2,03 mln, 4,06 mln i 8,11 mln; dla lat kolejnych przyjęto wydatki na poziomie 8,11 mln</w:t>
            </w:r>
          </w:p>
          <w:p w14:paraId="13C51265" w14:textId="77777777" w:rsidR="002477A9" w:rsidRPr="00EA243E" w:rsidRDefault="002477A9" w:rsidP="00173D72">
            <w:pPr>
              <w:pStyle w:val="Akapitzlist"/>
              <w:numPr>
                <w:ilvl w:val="0"/>
                <w:numId w:val="2"/>
              </w:numPr>
              <w:spacing w:after="0" w:line="240" w:lineRule="auto"/>
              <w:jc w:val="both"/>
              <w:rPr>
                <w:rFonts w:ascii="Times New Roman" w:eastAsia="Calibri" w:hAnsi="Times New Roman" w:cs="Times New Roman"/>
                <w:lang w:eastAsia="pl-PL"/>
              </w:rPr>
            </w:pPr>
            <w:r w:rsidRPr="00EA243E">
              <w:rPr>
                <w:rFonts w:ascii="Times New Roman" w:eastAsia="Times New Roman" w:hAnsi="Times New Roman" w:cs="Times New Roman"/>
                <w:lang w:eastAsia="pl-PL"/>
              </w:rPr>
              <w:t>system ciągłego monitorowania glikemii (CGM) u osób z cukrzycą – zgodnie z załącznikiem nr 7 w analizie wpływu na budżet nie uwzględniano kosztów pomp insulinowych, które w</w:t>
            </w:r>
            <w:r>
              <w:rPr>
                <w:rFonts w:ascii="Times New Roman" w:eastAsia="Times New Roman" w:hAnsi="Times New Roman" w:cs="Times New Roman"/>
                <w:lang w:eastAsia="pl-PL"/>
              </w:rPr>
              <w:t> </w:t>
            </w:r>
            <w:r w:rsidRPr="00EA243E">
              <w:rPr>
                <w:rFonts w:ascii="Times New Roman" w:eastAsia="Times New Roman" w:hAnsi="Times New Roman" w:cs="Times New Roman"/>
                <w:lang w:eastAsia="pl-PL"/>
              </w:rPr>
              <w:t>większości modeli są zintegrowane z odbiornikiem CGM</w:t>
            </w:r>
            <w:r>
              <w:rPr>
                <w:rFonts w:ascii="Times New Roman" w:eastAsia="Times New Roman" w:hAnsi="Times New Roman" w:cs="Times New Roman"/>
                <w:lang w:eastAsia="pl-PL"/>
              </w:rPr>
              <w:t xml:space="preserve">; pompy insulinowe w przedmiotowej populacji są już finansowane ze środków NFZ; w związku  z powyższym przyjęto iż wpływ na budżet płatnika związany z kwalifikacją świadczenia będzie jedynie </w:t>
            </w:r>
            <w:r>
              <w:rPr>
                <w:rFonts w:ascii="Times New Roman" w:eastAsia="Times New Roman" w:hAnsi="Times New Roman" w:cs="Times New Roman"/>
                <w:lang w:eastAsia="pl-PL"/>
              </w:rPr>
              <w:lastRenderedPageBreak/>
              <w:t xml:space="preserve">związany z refundacją wyrobów medycznych (nowelizacja rozporządzenia Ministra Zdrowia </w:t>
            </w:r>
            <w:r w:rsidRPr="00EA243E">
              <w:rPr>
                <w:rFonts w:ascii="Times New Roman" w:eastAsia="Times New Roman" w:hAnsi="Times New Roman" w:cs="Times New Roman"/>
                <w:lang w:eastAsia="pl-PL"/>
              </w:rPr>
              <w:t>w</w:t>
            </w:r>
            <w:r>
              <w:rPr>
                <w:rFonts w:ascii="Times New Roman" w:eastAsia="Times New Roman" w:hAnsi="Times New Roman" w:cs="Times New Roman"/>
                <w:lang w:eastAsia="pl-PL"/>
              </w:rPr>
              <w:t> </w:t>
            </w:r>
            <w:r w:rsidRPr="00EA243E">
              <w:rPr>
                <w:rFonts w:ascii="Times New Roman" w:eastAsia="Times New Roman" w:hAnsi="Times New Roman" w:cs="Times New Roman"/>
                <w:lang w:eastAsia="pl-PL"/>
              </w:rPr>
              <w:t>sprawie wykazu wyrobów medycznych wydawanych na zlecenie</w:t>
            </w:r>
            <w:r>
              <w:rPr>
                <w:rFonts w:ascii="Times New Roman" w:eastAsia="Times New Roman" w:hAnsi="Times New Roman" w:cs="Times New Roman"/>
                <w:lang w:eastAsia="pl-PL"/>
              </w:rPr>
              <w:t xml:space="preserve"> (Dz. U. z 2017 poz. </w:t>
            </w:r>
            <w:r w:rsidRPr="00EA243E">
              <w:rPr>
                <w:rFonts w:ascii="Times New Roman" w:eastAsia="Times New Roman" w:hAnsi="Times New Roman" w:cs="Times New Roman"/>
                <w:lang w:eastAsia="pl-PL"/>
              </w:rPr>
              <w:t>1061</w:t>
            </w:r>
            <w:r>
              <w:rPr>
                <w:rFonts w:ascii="Times New Roman" w:eastAsia="Times New Roman" w:hAnsi="Times New Roman" w:cs="Times New Roman"/>
                <w:lang w:eastAsia="pl-PL"/>
              </w:rPr>
              <w:t>)); nie przewiduje się wpływu na budżet płatnika związany z realizacją świadczenia w ramach AOS</w:t>
            </w:r>
          </w:p>
          <w:p w14:paraId="0A5F7560" w14:textId="77777777" w:rsidR="002477A9" w:rsidRPr="000916D8" w:rsidRDefault="002477A9" w:rsidP="00173D72">
            <w:pPr>
              <w:pStyle w:val="Akapitzlist"/>
              <w:numPr>
                <w:ilvl w:val="0"/>
                <w:numId w:val="2"/>
              </w:numPr>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d</w:t>
            </w:r>
            <w:r w:rsidRPr="00AA32F8">
              <w:rPr>
                <w:rFonts w:ascii="Times New Roman" w:eastAsia="Calibri" w:hAnsi="Times New Roman" w:cs="Times New Roman"/>
                <w:lang w:eastAsia="pl-PL"/>
              </w:rPr>
              <w:t xml:space="preserve">iagnostyka i modyfikacja leczenia pacjentów z cukrzycą </w:t>
            </w:r>
            <w:proofErr w:type="spellStart"/>
            <w:r w:rsidRPr="00AA32F8">
              <w:rPr>
                <w:rFonts w:ascii="Times New Roman" w:eastAsia="Calibri" w:hAnsi="Times New Roman" w:cs="Times New Roman"/>
                <w:lang w:eastAsia="pl-PL"/>
              </w:rPr>
              <w:t>monogenową</w:t>
            </w:r>
            <w:proofErr w:type="spellEnd"/>
            <w:r>
              <w:rPr>
                <w:rFonts w:ascii="Times New Roman" w:eastAsia="Calibri" w:hAnsi="Times New Roman" w:cs="Times New Roman"/>
                <w:lang w:eastAsia="pl-PL"/>
              </w:rPr>
              <w:t xml:space="preserve"> – na podstawie informacji uzyskanych od Konsultanta Krajowego w dziedzinie endokrynologii i diabetologii dziecięcej liczba pacjentów wymagających badań genetycznych w kierunku wykrycia defektów genowych KCNJ11 oraz ABCC8 wynosi 5-10/rocznie dla każdej z mutacji. Koszt przedmiotowych badań została wskazana przez Konsultanta jako 1800 PLN dla KCNJ11 i 5000 PLN dla ABCC8. W związku z powyższym szacowany roczny koszt wykonywania badań może wynosić 68 000 PLN.</w:t>
            </w:r>
          </w:p>
        </w:tc>
      </w:tr>
      <w:tr w:rsidR="002477A9" w:rsidRPr="00442C01" w14:paraId="79F95DD2" w14:textId="77777777" w:rsidTr="00442C01">
        <w:trPr>
          <w:gridAfter w:val="1"/>
          <w:wAfter w:w="10" w:type="dxa"/>
          <w:trHeight w:val="345"/>
        </w:trPr>
        <w:tc>
          <w:tcPr>
            <w:tcW w:w="10937" w:type="dxa"/>
            <w:gridSpan w:val="28"/>
            <w:shd w:val="clear" w:color="auto" w:fill="99CCFF"/>
          </w:tcPr>
          <w:p w14:paraId="63A2DCB1" w14:textId="77777777" w:rsidR="002477A9" w:rsidRPr="00442C01" w:rsidRDefault="002477A9" w:rsidP="00173D72">
            <w:pPr>
              <w:numPr>
                <w:ilvl w:val="0"/>
                <w:numId w:val="1"/>
              </w:numPr>
              <w:spacing w:after="0" w:line="240" w:lineRule="auto"/>
              <w:jc w:val="both"/>
              <w:rPr>
                <w:rFonts w:ascii="Times New Roman" w:eastAsia="Calibri" w:hAnsi="Times New Roman" w:cs="Times New Roman"/>
                <w:b/>
                <w:color w:val="000000"/>
                <w:spacing w:val="-2"/>
              </w:rPr>
            </w:pPr>
            <w:r w:rsidRPr="00442C01">
              <w:rPr>
                <w:rFonts w:ascii="Times New Roman" w:eastAsia="Calibri" w:hAnsi="Times New Roman" w:cs="Times New Roman"/>
                <w:b/>
                <w:color w:val="000000"/>
                <w:spacing w:val="-2"/>
              </w:rPr>
              <w:lastRenderedPageBreak/>
              <w:t xml:space="preserve">Wpływ na </w:t>
            </w:r>
            <w:r w:rsidRPr="00442C01">
              <w:rPr>
                <w:rFonts w:ascii="Times New Roman" w:eastAsia="Calibri" w:hAnsi="Times New Roman" w:cs="Times New Roman"/>
                <w:b/>
                <w:color w:val="000000"/>
              </w:rPr>
              <w:t xml:space="preserve">konkurencyjność gospodarki i przedsiębiorczość, w tym funkcjonowanie przedsiębiorców oraz na rodzinę, obywateli i gospodarstwa domowe </w:t>
            </w:r>
          </w:p>
        </w:tc>
      </w:tr>
      <w:tr w:rsidR="002477A9" w:rsidRPr="00442C01" w14:paraId="538D877C" w14:textId="77777777" w:rsidTr="00442C01">
        <w:trPr>
          <w:gridAfter w:val="1"/>
          <w:wAfter w:w="10" w:type="dxa"/>
          <w:trHeight w:val="142"/>
        </w:trPr>
        <w:tc>
          <w:tcPr>
            <w:tcW w:w="10937" w:type="dxa"/>
            <w:gridSpan w:val="28"/>
            <w:shd w:val="clear" w:color="auto" w:fill="FFFFFF"/>
          </w:tcPr>
          <w:p w14:paraId="6E91343A" w14:textId="77777777" w:rsidR="002477A9" w:rsidRPr="00442C01" w:rsidRDefault="002477A9" w:rsidP="00173D72">
            <w:pPr>
              <w:spacing w:after="0" w:line="240" w:lineRule="auto"/>
              <w:jc w:val="center"/>
              <w:rPr>
                <w:rFonts w:ascii="Times New Roman" w:eastAsia="Calibri" w:hAnsi="Times New Roman" w:cs="Times New Roman"/>
                <w:color w:val="000000"/>
                <w:spacing w:val="-2"/>
              </w:rPr>
            </w:pPr>
            <w:r w:rsidRPr="00442C01">
              <w:rPr>
                <w:rFonts w:ascii="Times New Roman" w:eastAsia="Calibri" w:hAnsi="Times New Roman" w:cs="Times New Roman"/>
                <w:color w:val="000000"/>
                <w:spacing w:val="-2"/>
              </w:rPr>
              <w:t>Skutki</w:t>
            </w:r>
          </w:p>
        </w:tc>
      </w:tr>
      <w:tr w:rsidR="002477A9" w:rsidRPr="00442C01" w14:paraId="16F930A3" w14:textId="77777777" w:rsidTr="00A64621">
        <w:trPr>
          <w:gridAfter w:val="1"/>
          <w:wAfter w:w="10" w:type="dxa"/>
          <w:trHeight w:val="20"/>
        </w:trPr>
        <w:tc>
          <w:tcPr>
            <w:tcW w:w="3889" w:type="dxa"/>
            <w:gridSpan w:val="8"/>
            <w:shd w:val="clear" w:color="auto" w:fill="FFFFFF"/>
            <w:vAlign w:val="center"/>
          </w:tcPr>
          <w:p w14:paraId="779387F8" w14:textId="77777777" w:rsidR="002477A9" w:rsidRPr="00442C01" w:rsidRDefault="002477A9" w:rsidP="00FF07A3">
            <w:pPr>
              <w:spacing w:after="0" w:line="240" w:lineRule="auto"/>
              <w:jc w:val="center"/>
              <w:rPr>
                <w:rFonts w:ascii="Times New Roman" w:eastAsia="Calibri" w:hAnsi="Times New Roman" w:cs="Times New Roman"/>
                <w:color w:val="000000"/>
              </w:rPr>
            </w:pPr>
            <w:r w:rsidRPr="00442C01">
              <w:rPr>
                <w:rFonts w:ascii="Times New Roman" w:eastAsia="Calibri" w:hAnsi="Times New Roman" w:cs="Times New Roman"/>
                <w:color w:val="000000"/>
              </w:rPr>
              <w:t>Czas w latach od wejścia w życie zmian</w:t>
            </w:r>
          </w:p>
        </w:tc>
        <w:tc>
          <w:tcPr>
            <w:tcW w:w="937" w:type="dxa"/>
            <w:gridSpan w:val="2"/>
            <w:shd w:val="clear" w:color="auto" w:fill="FFFFFF"/>
            <w:vAlign w:val="center"/>
          </w:tcPr>
          <w:p w14:paraId="71D432D2" w14:textId="77777777" w:rsidR="002477A9" w:rsidRPr="00442C01" w:rsidRDefault="002477A9">
            <w:pPr>
              <w:spacing w:after="0" w:line="240" w:lineRule="auto"/>
              <w:jc w:val="center"/>
              <w:rPr>
                <w:rFonts w:ascii="Times New Roman" w:eastAsia="Calibri" w:hAnsi="Times New Roman" w:cs="Times New Roman"/>
                <w:color w:val="000000"/>
              </w:rPr>
            </w:pPr>
            <w:r w:rsidRPr="00442C01">
              <w:rPr>
                <w:rFonts w:ascii="Times New Roman" w:eastAsia="Calibri" w:hAnsi="Times New Roman" w:cs="Times New Roman"/>
                <w:color w:val="000000"/>
              </w:rPr>
              <w:t>0</w:t>
            </w:r>
          </w:p>
        </w:tc>
        <w:tc>
          <w:tcPr>
            <w:tcW w:w="938" w:type="dxa"/>
            <w:gridSpan w:val="4"/>
            <w:shd w:val="clear" w:color="auto" w:fill="FFFFFF"/>
            <w:vAlign w:val="center"/>
          </w:tcPr>
          <w:p w14:paraId="74AE9AB2" w14:textId="77777777" w:rsidR="002477A9" w:rsidRPr="00442C01" w:rsidRDefault="002477A9">
            <w:pPr>
              <w:spacing w:after="0" w:line="240" w:lineRule="auto"/>
              <w:jc w:val="center"/>
              <w:rPr>
                <w:rFonts w:ascii="Times New Roman" w:eastAsia="Calibri" w:hAnsi="Times New Roman" w:cs="Times New Roman"/>
                <w:color w:val="000000"/>
              </w:rPr>
            </w:pPr>
            <w:r w:rsidRPr="00442C01">
              <w:rPr>
                <w:rFonts w:ascii="Times New Roman" w:eastAsia="Calibri" w:hAnsi="Times New Roman" w:cs="Times New Roman"/>
                <w:color w:val="000000"/>
              </w:rPr>
              <w:t>1</w:t>
            </w:r>
          </w:p>
        </w:tc>
        <w:tc>
          <w:tcPr>
            <w:tcW w:w="938" w:type="dxa"/>
            <w:gridSpan w:val="3"/>
            <w:shd w:val="clear" w:color="auto" w:fill="FFFFFF"/>
            <w:vAlign w:val="center"/>
          </w:tcPr>
          <w:p w14:paraId="69719AF8" w14:textId="77777777" w:rsidR="002477A9" w:rsidRPr="00442C01" w:rsidRDefault="002477A9">
            <w:pPr>
              <w:spacing w:after="0" w:line="240" w:lineRule="auto"/>
              <w:jc w:val="center"/>
              <w:rPr>
                <w:rFonts w:ascii="Times New Roman" w:eastAsia="Calibri" w:hAnsi="Times New Roman" w:cs="Times New Roman"/>
                <w:color w:val="000000"/>
              </w:rPr>
            </w:pPr>
            <w:r w:rsidRPr="00442C01">
              <w:rPr>
                <w:rFonts w:ascii="Times New Roman" w:eastAsia="Calibri" w:hAnsi="Times New Roman" w:cs="Times New Roman"/>
                <w:color w:val="000000"/>
              </w:rPr>
              <w:t>2</w:t>
            </w:r>
          </w:p>
        </w:tc>
        <w:tc>
          <w:tcPr>
            <w:tcW w:w="937" w:type="dxa"/>
            <w:gridSpan w:val="4"/>
            <w:shd w:val="clear" w:color="auto" w:fill="FFFFFF"/>
            <w:vAlign w:val="center"/>
          </w:tcPr>
          <w:p w14:paraId="4653031F" w14:textId="77777777" w:rsidR="002477A9" w:rsidRPr="00442C01" w:rsidRDefault="002477A9">
            <w:pPr>
              <w:spacing w:after="0" w:line="240" w:lineRule="auto"/>
              <w:jc w:val="center"/>
              <w:rPr>
                <w:rFonts w:ascii="Times New Roman" w:eastAsia="Calibri" w:hAnsi="Times New Roman" w:cs="Times New Roman"/>
                <w:color w:val="000000"/>
              </w:rPr>
            </w:pPr>
            <w:r w:rsidRPr="00442C01">
              <w:rPr>
                <w:rFonts w:ascii="Times New Roman" w:eastAsia="Calibri" w:hAnsi="Times New Roman" w:cs="Times New Roman"/>
                <w:color w:val="000000"/>
              </w:rPr>
              <w:t>3</w:t>
            </w:r>
          </w:p>
        </w:tc>
        <w:tc>
          <w:tcPr>
            <w:tcW w:w="938" w:type="dxa"/>
            <w:gridSpan w:val="3"/>
            <w:shd w:val="clear" w:color="auto" w:fill="FFFFFF"/>
            <w:vAlign w:val="center"/>
          </w:tcPr>
          <w:p w14:paraId="79AB8CBB" w14:textId="77777777" w:rsidR="002477A9" w:rsidRPr="00442C01" w:rsidRDefault="002477A9">
            <w:pPr>
              <w:spacing w:after="0" w:line="240" w:lineRule="auto"/>
              <w:jc w:val="center"/>
              <w:rPr>
                <w:rFonts w:ascii="Times New Roman" w:eastAsia="Calibri" w:hAnsi="Times New Roman" w:cs="Times New Roman"/>
                <w:color w:val="000000"/>
              </w:rPr>
            </w:pPr>
            <w:r w:rsidRPr="00442C01">
              <w:rPr>
                <w:rFonts w:ascii="Times New Roman" w:eastAsia="Calibri" w:hAnsi="Times New Roman" w:cs="Times New Roman"/>
                <w:color w:val="000000"/>
              </w:rPr>
              <w:t>5</w:t>
            </w:r>
          </w:p>
        </w:tc>
        <w:tc>
          <w:tcPr>
            <w:tcW w:w="938" w:type="dxa"/>
            <w:gridSpan w:val="2"/>
            <w:shd w:val="clear" w:color="auto" w:fill="FFFFFF"/>
            <w:vAlign w:val="center"/>
          </w:tcPr>
          <w:p w14:paraId="4542E548" w14:textId="77777777" w:rsidR="002477A9" w:rsidRPr="00442C01" w:rsidRDefault="002477A9">
            <w:pPr>
              <w:spacing w:after="0" w:line="240" w:lineRule="auto"/>
              <w:jc w:val="center"/>
              <w:rPr>
                <w:rFonts w:ascii="Times New Roman" w:eastAsia="Calibri" w:hAnsi="Times New Roman" w:cs="Times New Roman"/>
                <w:color w:val="000000"/>
              </w:rPr>
            </w:pPr>
            <w:r w:rsidRPr="00442C01">
              <w:rPr>
                <w:rFonts w:ascii="Times New Roman" w:eastAsia="Calibri" w:hAnsi="Times New Roman" w:cs="Times New Roman"/>
                <w:color w:val="000000"/>
              </w:rPr>
              <w:t>10</w:t>
            </w:r>
          </w:p>
        </w:tc>
        <w:tc>
          <w:tcPr>
            <w:tcW w:w="1422" w:type="dxa"/>
            <w:gridSpan w:val="2"/>
            <w:shd w:val="clear" w:color="auto" w:fill="FFFFFF"/>
            <w:vAlign w:val="center"/>
          </w:tcPr>
          <w:p w14:paraId="3262E508" w14:textId="77777777" w:rsidR="002477A9" w:rsidRPr="00442C01" w:rsidRDefault="002477A9">
            <w:pPr>
              <w:spacing w:after="0" w:line="240" w:lineRule="auto"/>
              <w:jc w:val="center"/>
              <w:rPr>
                <w:rFonts w:ascii="Times New Roman" w:eastAsia="Calibri" w:hAnsi="Times New Roman" w:cs="Times New Roman"/>
                <w:i/>
                <w:color w:val="000000"/>
                <w:spacing w:val="-2"/>
              </w:rPr>
            </w:pPr>
            <w:r w:rsidRPr="00442C01">
              <w:rPr>
                <w:rFonts w:ascii="Times New Roman" w:eastAsia="Calibri" w:hAnsi="Times New Roman" w:cs="Times New Roman"/>
                <w:i/>
                <w:color w:val="000000"/>
                <w:spacing w:val="-2"/>
              </w:rPr>
              <w:t>Łącznie</w:t>
            </w:r>
            <w:r w:rsidRPr="00442C01" w:rsidDel="0073273A">
              <w:rPr>
                <w:rFonts w:ascii="Times New Roman" w:eastAsia="Calibri" w:hAnsi="Times New Roman" w:cs="Times New Roman"/>
                <w:i/>
                <w:color w:val="000000"/>
                <w:spacing w:val="-2"/>
              </w:rPr>
              <w:t xml:space="preserve"> </w:t>
            </w:r>
            <w:r w:rsidRPr="00442C01">
              <w:rPr>
                <w:rFonts w:ascii="Times New Roman" w:eastAsia="Calibri" w:hAnsi="Times New Roman" w:cs="Times New Roman"/>
                <w:i/>
                <w:color w:val="000000"/>
                <w:spacing w:val="-2"/>
              </w:rPr>
              <w:t>(0-10)</w:t>
            </w:r>
          </w:p>
        </w:tc>
      </w:tr>
      <w:tr w:rsidR="002477A9" w:rsidRPr="00442C01" w14:paraId="502D6412" w14:textId="77777777" w:rsidTr="00A64621">
        <w:trPr>
          <w:gridAfter w:val="1"/>
          <w:wAfter w:w="10" w:type="dxa"/>
          <w:trHeight w:val="20"/>
        </w:trPr>
        <w:tc>
          <w:tcPr>
            <w:tcW w:w="1596" w:type="dxa"/>
            <w:gridSpan w:val="2"/>
            <w:vMerge w:val="restart"/>
            <w:shd w:val="clear" w:color="auto" w:fill="FFFFFF"/>
            <w:vAlign w:val="center"/>
          </w:tcPr>
          <w:p w14:paraId="70CB90B0" w14:textId="77777777" w:rsidR="002477A9" w:rsidRPr="00442C01" w:rsidRDefault="002477A9" w:rsidP="00FF07A3">
            <w:pPr>
              <w:spacing w:after="0" w:line="240" w:lineRule="auto"/>
              <w:jc w:val="center"/>
              <w:rPr>
                <w:rFonts w:ascii="Times New Roman" w:eastAsia="Calibri" w:hAnsi="Times New Roman" w:cs="Times New Roman"/>
                <w:color w:val="000000"/>
              </w:rPr>
            </w:pPr>
            <w:r w:rsidRPr="00442C01">
              <w:rPr>
                <w:rFonts w:ascii="Times New Roman" w:eastAsia="Calibri" w:hAnsi="Times New Roman" w:cs="Times New Roman"/>
                <w:color w:val="000000"/>
              </w:rPr>
              <w:t>W ujęciu pieniężnym</w:t>
            </w:r>
          </w:p>
          <w:p w14:paraId="4C7AA7F9" w14:textId="77777777" w:rsidR="002477A9" w:rsidRPr="00442C01" w:rsidRDefault="002477A9">
            <w:pPr>
              <w:spacing w:after="0" w:line="240" w:lineRule="auto"/>
              <w:jc w:val="center"/>
              <w:rPr>
                <w:rFonts w:ascii="Times New Roman" w:eastAsia="Calibri" w:hAnsi="Times New Roman" w:cs="Times New Roman"/>
                <w:spacing w:val="-2"/>
              </w:rPr>
            </w:pPr>
            <w:r w:rsidRPr="00442C01">
              <w:rPr>
                <w:rFonts w:ascii="Times New Roman" w:eastAsia="Calibri" w:hAnsi="Times New Roman" w:cs="Times New Roman"/>
                <w:spacing w:val="-2"/>
              </w:rPr>
              <w:t>(w mln zł,</w:t>
            </w:r>
          </w:p>
          <w:p w14:paraId="188AD500" w14:textId="77777777" w:rsidR="002477A9" w:rsidRPr="00442C01" w:rsidRDefault="002477A9">
            <w:pPr>
              <w:spacing w:after="0" w:line="240" w:lineRule="auto"/>
              <w:jc w:val="center"/>
              <w:rPr>
                <w:rFonts w:ascii="Times New Roman" w:eastAsia="Calibri" w:hAnsi="Times New Roman" w:cs="Times New Roman"/>
                <w:color w:val="000000"/>
              </w:rPr>
            </w:pPr>
            <w:r>
              <w:rPr>
                <w:rFonts w:ascii="Times New Roman" w:eastAsia="Calibri" w:hAnsi="Times New Roman" w:cs="Times New Roman"/>
                <w:spacing w:val="-2"/>
              </w:rPr>
              <w:t>ceny stałe z 2017</w:t>
            </w:r>
            <w:r w:rsidRPr="00442C01">
              <w:rPr>
                <w:rFonts w:ascii="Times New Roman" w:eastAsia="Calibri" w:hAnsi="Times New Roman" w:cs="Times New Roman"/>
                <w:spacing w:val="-2"/>
              </w:rPr>
              <w:t xml:space="preserve"> r.)</w:t>
            </w:r>
          </w:p>
        </w:tc>
        <w:tc>
          <w:tcPr>
            <w:tcW w:w="2293" w:type="dxa"/>
            <w:gridSpan w:val="6"/>
            <w:shd w:val="clear" w:color="auto" w:fill="FFFFFF"/>
            <w:vAlign w:val="center"/>
          </w:tcPr>
          <w:p w14:paraId="211A16CD" w14:textId="77777777" w:rsidR="002477A9" w:rsidRPr="00442C01" w:rsidRDefault="002477A9">
            <w:pPr>
              <w:spacing w:after="0" w:line="240" w:lineRule="auto"/>
              <w:jc w:val="center"/>
              <w:rPr>
                <w:rFonts w:ascii="Times New Roman" w:eastAsia="Calibri" w:hAnsi="Times New Roman" w:cs="Times New Roman"/>
                <w:color w:val="000000"/>
              </w:rPr>
            </w:pPr>
            <w:r w:rsidRPr="00442C01">
              <w:rPr>
                <w:rFonts w:ascii="Times New Roman" w:eastAsia="Calibri" w:hAnsi="Times New Roman" w:cs="Times New Roman"/>
                <w:color w:val="000000"/>
              </w:rPr>
              <w:t>duże przedsiębiorstwa</w:t>
            </w:r>
          </w:p>
        </w:tc>
        <w:tc>
          <w:tcPr>
            <w:tcW w:w="937" w:type="dxa"/>
            <w:gridSpan w:val="2"/>
            <w:shd w:val="clear" w:color="auto" w:fill="FFFFFF"/>
            <w:vAlign w:val="center"/>
          </w:tcPr>
          <w:p w14:paraId="00E979FD" w14:textId="77777777" w:rsidR="002477A9" w:rsidRPr="00442C01" w:rsidRDefault="002477A9">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8" w:type="dxa"/>
            <w:gridSpan w:val="4"/>
            <w:shd w:val="clear" w:color="auto" w:fill="FFFFFF"/>
            <w:vAlign w:val="center"/>
          </w:tcPr>
          <w:p w14:paraId="17F98547" w14:textId="77777777" w:rsidR="002477A9" w:rsidRPr="00442C01" w:rsidRDefault="002477A9">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8" w:type="dxa"/>
            <w:gridSpan w:val="3"/>
            <w:shd w:val="clear" w:color="auto" w:fill="FFFFFF"/>
            <w:vAlign w:val="center"/>
          </w:tcPr>
          <w:p w14:paraId="5A7AA845" w14:textId="77777777" w:rsidR="002477A9" w:rsidRPr="00442C01" w:rsidRDefault="002477A9">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7" w:type="dxa"/>
            <w:gridSpan w:val="4"/>
            <w:shd w:val="clear" w:color="auto" w:fill="FFFFFF"/>
            <w:vAlign w:val="center"/>
          </w:tcPr>
          <w:p w14:paraId="2E963C3E" w14:textId="77777777" w:rsidR="002477A9" w:rsidRPr="00442C01" w:rsidRDefault="002477A9">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8" w:type="dxa"/>
            <w:gridSpan w:val="3"/>
            <w:shd w:val="clear" w:color="auto" w:fill="FFFFFF"/>
            <w:vAlign w:val="center"/>
          </w:tcPr>
          <w:p w14:paraId="5491D829" w14:textId="77777777" w:rsidR="002477A9" w:rsidRPr="00442C01" w:rsidRDefault="002477A9">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8" w:type="dxa"/>
            <w:gridSpan w:val="2"/>
            <w:shd w:val="clear" w:color="auto" w:fill="FFFFFF"/>
            <w:vAlign w:val="center"/>
          </w:tcPr>
          <w:p w14:paraId="7A1E7B3A" w14:textId="77777777" w:rsidR="002477A9" w:rsidRPr="00442C01" w:rsidRDefault="002477A9">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1422" w:type="dxa"/>
            <w:gridSpan w:val="2"/>
            <w:shd w:val="clear" w:color="auto" w:fill="FFFFFF"/>
            <w:vAlign w:val="center"/>
          </w:tcPr>
          <w:p w14:paraId="7E6A5435" w14:textId="77777777" w:rsidR="002477A9" w:rsidRPr="00442C01" w:rsidRDefault="002477A9">
            <w:pPr>
              <w:spacing w:after="0" w:line="240" w:lineRule="auto"/>
              <w:jc w:val="center"/>
              <w:rPr>
                <w:rFonts w:ascii="Times New Roman" w:eastAsia="Calibri" w:hAnsi="Times New Roman" w:cs="Times New Roman"/>
                <w:color w:val="000000"/>
                <w:spacing w:val="-2"/>
              </w:rPr>
            </w:pPr>
            <w:r>
              <w:rPr>
                <w:rFonts w:ascii="Times New Roman" w:eastAsia="Calibri" w:hAnsi="Times New Roman" w:cs="Times New Roman"/>
                <w:color w:val="000000"/>
                <w:spacing w:val="-2"/>
              </w:rPr>
              <w:t>0</w:t>
            </w:r>
          </w:p>
        </w:tc>
      </w:tr>
      <w:tr w:rsidR="002477A9" w:rsidRPr="00442C01" w14:paraId="67FA4D8E" w14:textId="77777777" w:rsidTr="00A64621">
        <w:trPr>
          <w:gridAfter w:val="1"/>
          <w:wAfter w:w="10" w:type="dxa"/>
          <w:trHeight w:val="20"/>
        </w:trPr>
        <w:tc>
          <w:tcPr>
            <w:tcW w:w="1596" w:type="dxa"/>
            <w:gridSpan w:val="2"/>
            <w:vMerge/>
            <w:shd w:val="clear" w:color="auto" w:fill="FFFFFF"/>
            <w:vAlign w:val="center"/>
          </w:tcPr>
          <w:p w14:paraId="7864F940" w14:textId="77777777" w:rsidR="002477A9" w:rsidRPr="00442C01" w:rsidRDefault="002477A9">
            <w:pPr>
              <w:spacing w:after="0" w:line="240" w:lineRule="auto"/>
              <w:jc w:val="center"/>
              <w:rPr>
                <w:rFonts w:ascii="Times New Roman" w:eastAsia="Calibri" w:hAnsi="Times New Roman" w:cs="Times New Roman"/>
                <w:color w:val="000000"/>
              </w:rPr>
            </w:pPr>
          </w:p>
        </w:tc>
        <w:tc>
          <w:tcPr>
            <w:tcW w:w="2293" w:type="dxa"/>
            <w:gridSpan w:val="6"/>
            <w:shd w:val="clear" w:color="auto" w:fill="FFFFFF"/>
            <w:vAlign w:val="center"/>
          </w:tcPr>
          <w:p w14:paraId="54BB0FF9" w14:textId="77777777" w:rsidR="002477A9" w:rsidRPr="00442C01" w:rsidRDefault="002477A9">
            <w:pPr>
              <w:spacing w:after="0" w:line="240" w:lineRule="auto"/>
              <w:jc w:val="center"/>
              <w:rPr>
                <w:rFonts w:ascii="Times New Roman" w:eastAsia="Calibri" w:hAnsi="Times New Roman" w:cs="Times New Roman"/>
                <w:color w:val="000000"/>
              </w:rPr>
            </w:pPr>
            <w:r w:rsidRPr="00442C01">
              <w:rPr>
                <w:rFonts w:ascii="Times New Roman" w:eastAsia="Calibri" w:hAnsi="Times New Roman" w:cs="Times New Roman"/>
                <w:color w:val="000000"/>
              </w:rPr>
              <w:t>sektor mikro-, małych i średnich przedsiębiorstw</w:t>
            </w:r>
          </w:p>
        </w:tc>
        <w:tc>
          <w:tcPr>
            <w:tcW w:w="937" w:type="dxa"/>
            <w:gridSpan w:val="2"/>
            <w:shd w:val="clear" w:color="auto" w:fill="FFFFFF"/>
            <w:vAlign w:val="center"/>
          </w:tcPr>
          <w:p w14:paraId="2760A9E3" w14:textId="77777777" w:rsidR="002477A9" w:rsidRPr="00442C01" w:rsidRDefault="002477A9">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8" w:type="dxa"/>
            <w:gridSpan w:val="4"/>
            <w:shd w:val="clear" w:color="auto" w:fill="FFFFFF"/>
            <w:vAlign w:val="center"/>
          </w:tcPr>
          <w:p w14:paraId="4262288E" w14:textId="77777777" w:rsidR="002477A9" w:rsidRPr="00442C01" w:rsidRDefault="002477A9">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8" w:type="dxa"/>
            <w:gridSpan w:val="3"/>
            <w:shd w:val="clear" w:color="auto" w:fill="FFFFFF"/>
            <w:vAlign w:val="center"/>
          </w:tcPr>
          <w:p w14:paraId="4ABAA72D" w14:textId="77777777" w:rsidR="002477A9" w:rsidRPr="00442C01" w:rsidRDefault="002477A9">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7" w:type="dxa"/>
            <w:gridSpan w:val="4"/>
            <w:shd w:val="clear" w:color="auto" w:fill="FFFFFF"/>
            <w:vAlign w:val="center"/>
          </w:tcPr>
          <w:p w14:paraId="75AC5025" w14:textId="77777777" w:rsidR="002477A9" w:rsidRPr="00442C01" w:rsidRDefault="002477A9">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8" w:type="dxa"/>
            <w:gridSpan w:val="3"/>
            <w:shd w:val="clear" w:color="auto" w:fill="FFFFFF"/>
            <w:vAlign w:val="center"/>
          </w:tcPr>
          <w:p w14:paraId="6E8BA3BC" w14:textId="77777777" w:rsidR="002477A9" w:rsidRPr="00442C01" w:rsidRDefault="002477A9">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8" w:type="dxa"/>
            <w:gridSpan w:val="2"/>
            <w:shd w:val="clear" w:color="auto" w:fill="FFFFFF"/>
            <w:vAlign w:val="center"/>
          </w:tcPr>
          <w:p w14:paraId="7E154CB8" w14:textId="77777777" w:rsidR="002477A9" w:rsidRPr="00442C01" w:rsidRDefault="002477A9">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1422" w:type="dxa"/>
            <w:gridSpan w:val="2"/>
            <w:shd w:val="clear" w:color="auto" w:fill="FFFFFF"/>
            <w:vAlign w:val="center"/>
          </w:tcPr>
          <w:p w14:paraId="122D1E91" w14:textId="77777777" w:rsidR="002477A9" w:rsidRPr="00442C01" w:rsidRDefault="002477A9">
            <w:pPr>
              <w:spacing w:after="0" w:line="240" w:lineRule="auto"/>
              <w:jc w:val="center"/>
              <w:rPr>
                <w:rFonts w:ascii="Times New Roman" w:eastAsia="Calibri" w:hAnsi="Times New Roman" w:cs="Times New Roman"/>
                <w:color w:val="000000"/>
                <w:spacing w:val="-2"/>
              </w:rPr>
            </w:pPr>
            <w:r>
              <w:rPr>
                <w:rFonts w:ascii="Times New Roman" w:eastAsia="Calibri" w:hAnsi="Times New Roman" w:cs="Times New Roman"/>
                <w:color w:val="000000"/>
                <w:spacing w:val="-2"/>
              </w:rPr>
              <w:t>0</w:t>
            </w:r>
          </w:p>
        </w:tc>
      </w:tr>
      <w:tr w:rsidR="002477A9" w:rsidRPr="00442C01" w14:paraId="47187E33" w14:textId="77777777" w:rsidTr="00A64621">
        <w:trPr>
          <w:gridAfter w:val="1"/>
          <w:wAfter w:w="10" w:type="dxa"/>
          <w:trHeight w:val="20"/>
        </w:trPr>
        <w:tc>
          <w:tcPr>
            <w:tcW w:w="1596" w:type="dxa"/>
            <w:gridSpan w:val="2"/>
            <w:vMerge/>
            <w:shd w:val="clear" w:color="auto" w:fill="FFFFFF"/>
            <w:vAlign w:val="center"/>
          </w:tcPr>
          <w:p w14:paraId="087E3939" w14:textId="77777777" w:rsidR="002477A9" w:rsidRPr="00442C01" w:rsidRDefault="002477A9">
            <w:pPr>
              <w:spacing w:after="0" w:line="240" w:lineRule="auto"/>
              <w:jc w:val="center"/>
              <w:rPr>
                <w:rFonts w:ascii="Times New Roman" w:eastAsia="Calibri" w:hAnsi="Times New Roman" w:cs="Times New Roman"/>
                <w:color w:val="000000"/>
              </w:rPr>
            </w:pPr>
          </w:p>
        </w:tc>
        <w:tc>
          <w:tcPr>
            <w:tcW w:w="2293" w:type="dxa"/>
            <w:gridSpan w:val="6"/>
            <w:shd w:val="clear" w:color="auto" w:fill="FFFFFF"/>
            <w:vAlign w:val="center"/>
          </w:tcPr>
          <w:p w14:paraId="6D66041D" w14:textId="77777777" w:rsidR="002477A9" w:rsidRPr="00442C01" w:rsidRDefault="002477A9">
            <w:pPr>
              <w:spacing w:after="0" w:line="240" w:lineRule="auto"/>
              <w:jc w:val="center"/>
              <w:rPr>
                <w:rFonts w:ascii="Times New Roman" w:eastAsia="Calibri" w:hAnsi="Times New Roman" w:cs="Times New Roman"/>
                <w:color w:val="000000"/>
              </w:rPr>
            </w:pPr>
            <w:r w:rsidRPr="00442C01">
              <w:rPr>
                <w:rFonts w:ascii="Times New Roman" w:eastAsia="Calibri" w:hAnsi="Times New Roman" w:cs="Times New Roman"/>
              </w:rPr>
              <w:t>rodzina, obywatele oraz gospodarstwa domowe</w:t>
            </w:r>
          </w:p>
        </w:tc>
        <w:tc>
          <w:tcPr>
            <w:tcW w:w="937" w:type="dxa"/>
            <w:gridSpan w:val="2"/>
            <w:shd w:val="clear" w:color="auto" w:fill="FFFFFF"/>
            <w:vAlign w:val="center"/>
          </w:tcPr>
          <w:p w14:paraId="7DB8C684" w14:textId="77777777" w:rsidR="002477A9" w:rsidRPr="00442C01" w:rsidRDefault="002477A9">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8" w:type="dxa"/>
            <w:gridSpan w:val="4"/>
            <w:shd w:val="clear" w:color="auto" w:fill="FFFFFF"/>
            <w:vAlign w:val="center"/>
          </w:tcPr>
          <w:p w14:paraId="34A4AB11" w14:textId="77777777" w:rsidR="002477A9" w:rsidRPr="00442C01" w:rsidRDefault="002477A9">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8" w:type="dxa"/>
            <w:gridSpan w:val="3"/>
            <w:shd w:val="clear" w:color="auto" w:fill="FFFFFF"/>
            <w:vAlign w:val="center"/>
          </w:tcPr>
          <w:p w14:paraId="2C43816B" w14:textId="77777777" w:rsidR="002477A9" w:rsidRPr="00442C01" w:rsidRDefault="002477A9">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7" w:type="dxa"/>
            <w:gridSpan w:val="4"/>
            <w:shd w:val="clear" w:color="auto" w:fill="FFFFFF"/>
            <w:vAlign w:val="center"/>
          </w:tcPr>
          <w:p w14:paraId="34C8C255" w14:textId="77777777" w:rsidR="002477A9" w:rsidRPr="00442C01" w:rsidRDefault="002477A9">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8" w:type="dxa"/>
            <w:gridSpan w:val="3"/>
            <w:shd w:val="clear" w:color="auto" w:fill="FFFFFF"/>
            <w:vAlign w:val="center"/>
          </w:tcPr>
          <w:p w14:paraId="14D41644" w14:textId="77777777" w:rsidR="002477A9" w:rsidRPr="00442C01" w:rsidRDefault="002477A9">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8" w:type="dxa"/>
            <w:gridSpan w:val="2"/>
            <w:shd w:val="clear" w:color="auto" w:fill="FFFFFF"/>
            <w:vAlign w:val="center"/>
          </w:tcPr>
          <w:p w14:paraId="2766EAF3" w14:textId="77777777" w:rsidR="002477A9" w:rsidRPr="00442C01" w:rsidRDefault="002477A9">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1422" w:type="dxa"/>
            <w:gridSpan w:val="2"/>
            <w:shd w:val="clear" w:color="auto" w:fill="FFFFFF"/>
            <w:vAlign w:val="center"/>
          </w:tcPr>
          <w:p w14:paraId="32502141" w14:textId="77777777" w:rsidR="002477A9" w:rsidRPr="00442C01" w:rsidRDefault="002477A9">
            <w:pPr>
              <w:spacing w:after="0" w:line="240" w:lineRule="auto"/>
              <w:jc w:val="center"/>
              <w:rPr>
                <w:rFonts w:ascii="Times New Roman" w:eastAsia="Calibri" w:hAnsi="Times New Roman" w:cs="Times New Roman"/>
                <w:color w:val="000000"/>
                <w:spacing w:val="-2"/>
              </w:rPr>
            </w:pPr>
            <w:r>
              <w:rPr>
                <w:rFonts w:ascii="Times New Roman" w:eastAsia="Calibri" w:hAnsi="Times New Roman" w:cs="Times New Roman"/>
                <w:color w:val="000000"/>
                <w:spacing w:val="-2"/>
              </w:rPr>
              <w:t>0</w:t>
            </w:r>
          </w:p>
        </w:tc>
      </w:tr>
      <w:tr w:rsidR="002477A9" w:rsidRPr="00442C01" w14:paraId="70F5C754" w14:textId="77777777" w:rsidTr="00A64621">
        <w:trPr>
          <w:gridAfter w:val="1"/>
          <w:wAfter w:w="10" w:type="dxa"/>
          <w:trHeight w:val="20"/>
        </w:trPr>
        <w:tc>
          <w:tcPr>
            <w:tcW w:w="1596" w:type="dxa"/>
            <w:gridSpan w:val="2"/>
            <w:vMerge/>
            <w:shd w:val="clear" w:color="auto" w:fill="FFFFFF"/>
            <w:vAlign w:val="center"/>
          </w:tcPr>
          <w:p w14:paraId="11AE3E3A" w14:textId="77777777" w:rsidR="002477A9" w:rsidRPr="00442C01" w:rsidRDefault="002477A9">
            <w:pPr>
              <w:spacing w:after="0" w:line="240" w:lineRule="auto"/>
              <w:jc w:val="center"/>
              <w:rPr>
                <w:rFonts w:ascii="Times New Roman" w:eastAsia="Calibri" w:hAnsi="Times New Roman" w:cs="Times New Roman"/>
                <w:color w:val="000000"/>
              </w:rPr>
            </w:pPr>
          </w:p>
        </w:tc>
        <w:tc>
          <w:tcPr>
            <w:tcW w:w="2293" w:type="dxa"/>
            <w:gridSpan w:val="6"/>
            <w:shd w:val="clear" w:color="auto" w:fill="FFFFFF"/>
            <w:vAlign w:val="center"/>
          </w:tcPr>
          <w:p w14:paraId="6495E66C" w14:textId="77777777" w:rsidR="002477A9" w:rsidRPr="00442C01" w:rsidRDefault="002477A9">
            <w:pPr>
              <w:spacing w:after="0" w:line="240" w:lineRule="auto"/>
              <w:jc w:val="center"/>
              <w:rPr>
                <w:rFonts w:ascii="Times New Roman" w:eastAsia="Calibri" w:hAnsi="Times New Roman" w:cs="Times New Roman"/>
                <w:color w:val="000000"/>
              </w:rPr>
            </w:pPr>
            <w:r w:rsidRPr="00442C01">
              <w:rPr>
                <w:rFonts w:ascii="Times New Roman" w:eastAsia="Calibri" w:hAnsi="Times New Roman" w:cs="Times New Roman"/>
                <w:color w:val="00000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442C01">
              <w:rPr>
                <w:rFonts w:ascii="Times New Roman" w:eastAsia="Calibri" w:hAnsi="Times New Roman" w:cs="Times New Roman"/>
                <w:color w:val="000000"/>
              </w:rPr>
              <w:instrText xml:space="preserve"> FORMTEXT </w:instrText>
            </w:r>
            <w:r w:rsidRPr="00442C01">
              <w:rPr>
                <w:rFonts w:ascii="Times New Roman" w:eastAsia="Calibri" w:hAnsi="Times New Roman" w:cs="Times New Roman"/>
                <w:color w:val="000000"/>
              </w:rPr>
            </w:r>
            <w:r w:rsidRPr="00442C01">
              <w:rPr>
                <w:rFonts w:ascii="Times New Roman" w:eastAsia="Calibri" w:hAnsi="Times New Roman" w:cs="Times New Roman"/>
                <w:color w:val="000000"/>
              </w:rPr>
              <w:fldChar w:fldCharType="separate"/>
            </w:r>
            <w:r w:rsidRPr="00442C01">
              <w:rPr>
                <w:rFonts w:ascii="Times New Roman" w:eastAsia="Calibri" w:hAnsi="Times New Roman" w:cs="Times New Roman"/>
                <w:noProof/>
                <w:color w:val="000000"/>
              </w:rPr>
              <w:t>(dodaj/usuń)</w:t>
            </w:r>
            <w:r w:rsidRPr="00442C01">
              <w:rPr>
                <w:rFonts w:ascii="Times New Roman" w:eastAsia="Calibri" w:hAnsi="Times New Roman" w:cs="Times New Roman"/>
                <w:color w:val="000000"/>
              </w:rPr>
              <w:fldChar w:fldCharType="end"/>
            </w:r>
          </w:p>
        </w:tc>
        <w:tc>
          <w:tcPr>
            <w:tcW w:w="937" w:type="dxa"/>
            <w:gridSpan w:val="2"/>
            <w:shd w:val="clear" w:color="auto" w:fill="FFFFFF"/>
            <w:vAlign w:val="center"/>
          </w:tcPr>
          <w:p w14:paraId="65B5B5A4" w14:textId="77777777" w:rsidR="002477A9" w:rsidRPr="00442C01" w:rsidRDefault="002477A9">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8" w:type="dxa"/>
            <w:gridSpan w:val="4"/>
            <w:shd w:val="clear" w:color="auto" w:fill="FFFFFF"/>
            <w:vAlign w:val="center"/>
          </w:tcPr>
          <w:p w14:paraId="070650D0" w14:textId="77777777" w:rsidR="002477A9" w:rsidRPr="00442C01" w:rsidRDefault="002477A9">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8" w:type="dxa"/>
            <w:gridSpan w:val="3"/>
            <w:shd w:val="clear" w:color="auto" w:fill="FFFFFF"/>
            <w:vAlign w:val="center"/>
          </w:tcPr>
          <w:p w14:paraId="1856F52F" w14:textId="77777777" w:rsidR="002477A9" w:rsidRPr="00442C01" w:rsidRDefault="002477A9">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7" w:type="dxa"/>
            <w:gridSpan w:val="4"/>
            <w:shd w:val="clear" w:color="auto" w:fill="FFFFFF"/>
            <w:vAlign w:val="center"/>
          </w:tcPr>
          <w:p w14:paraId="5B08D9B3" w14:textId="77777777" w:rsidR="002477A9" w:rsidRPr="00442C01" w:rsidRDefault="002477A9">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8" w:type="dxa"/>
            <w:gridSpan w:val="3"/>
            <w:shd w:val="clear" w:color="auto" w:fill="FFFFFF"/>
            <w:vAlign w:val="center"/>
          </w:tcPr>
          <w:p w14:paraId="7D9488C2" w14:textId="77777777" w:rsidR="002477A9" w:rsidRPr="00442C01" w:rsidRDefault="002477A9">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8" w:type="dxa"/>
            <w:gridSpan w:val="2"/>
            <w:shd w:val="clear" w:color="auto" w:fill="FFFFFF"/>
            <w:vAlign w:val="center"/>
          </w:tcPr>
          <w:p w14:paraId="464F676C" w14:textId="77777777" w:rsidR="002477A9" w:rsidRPr="00442C01" w:rsidRDefault="002477A9">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1422" w:type="dxa"/>
            <w:gridSpan w:val="2"/>
            <w:shd w:val="clear" w:color="auto" w:fill="FFFFFF"/>
            <w:vAlign w:val="center"/>
          </w:tcPr>
          <w:p w14:paraId="6F3F7844" w14:textId="77777777" w:rsidR="002477A9" w:rsidRPr="00442C01" w:rsidRDefault="002477A9">
            <w:pPr>
              <w:spacing w:after="0" w:line="240" w:lineRule="auto"/>
              <w:jc w:val="center"/>
              <w:rPr>
                <w:rFonts w:ascii="Times New Roman" w:eastAsia="Calibri" w:hAnsi="Times New Roman" w:cs="Times New Roman"/>
                <w:color w:val="000000"/>
                <w:spacing w:val="-2"/>
              </w:rPr>
            </w:pPr>
            <w:r>
              <w:rPr>
                <w:rFonts w:ascii="Times New Roman" w:eastAsia="Calibri" w:hAnsi="Times New Roman" w:cs="Times New Roman"/>
                <w:color w:val="000000"/>
                <w:spacing w:val="-2"/>
              </w:rPr>
              <w:t>0</w:t>
            </w:r>
          </w:p>
        </w:tc>
      </w:tr>
      <w:tr w:rsidR="002477A9" w:rsidRPr="00442C01" w14:paraId="77800BA6" w14:textId="77777777" w:rsidTr="00442C01">
        <w:trPr>
          <w:gridAfter w:val="1"/>
          <w:wAfter w:w="10" w:type="dxa"/>
          <w:trHeight w:val="142"/>
        </w:trPr>
        <w:tc>
          <w:tcPr>
            <w:tcW w:w="1596" w:type="dxa"/>
            <w:gridSpan w:val="2"/>
            <w:vMerge w:val="restart"/>
            <w:shd w:val="clear" w:color="auto" w:fill="FFFFFF"/>
          </w:tcPr>
          <w:p w14:paraId="1FECE0D2" w14:textId="77777777" w:rsidR="002477A9" w:rsidRPr="00442C01" w:rsidRDefault="002477A9" w:rsidP="00173D72">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t>W ujęciu niepieniężnym</w:t>
            </w:r>
          </w:p>
        </w:tc>
        <w:tc>
          <w:tcPr>
            <w:tcW w:w="2293" w:type="dxa"/>
            <w:gridSpan w:val="6"/>
            <w:shd w:val="clear" w:color="auto" w:fill="FFFFFF"/>
          </w:tcPr>
          <w:p w14:paraId="5D79A324" w14:textId="77777777" w:rsidR="002477A9" w:rsidRPr="00442C01" w:rsidRDefault="002477A9" w:rsidP="00173D72">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t>duże przedsiębiorstwa</w:t>
            </w:r>
          </w:p>
        </w:tc>
        <w:tc>
          <w:tcPr>
            <w:tcW w:w="7048" w:type="dxa"/>
            <w:gridSpan w:val="20"/>
            <w:shd w:val="clear" w:color="auto" w:fill="FFFFFF"/>
          </w:tcPr>
          <w:p w14:paraId="1E748787" w14:textId="77777777" w:rsidR="002477A9" w:rsidRPr="00DF7E2C" w:rsidRDefault="002477A9" w:rsidP="00173D72">
            <w:pPr>
              <w:suppressAutoHyphens/>
              <w:autoSpaceDE w:val="0"/>
              <w:autoSpaceDN w:val="0"/>
              <w:adjustRightInd w:val="0"/>
              <w:spacing w:after="0" w:line="240" w:lineRule="auto"/>
              <w:rPr>
                <w:rFonts w:ascii="Times New Roman" w:eastAsia="Times New Roman" w:hAnsi="Times New Roman" w:cs="Times New Roman"/>
                <w:bCs/>
                <w:lang w:eastAsia="pl-PL"/>
              </w:rPr>
            </w:pPr>
            <w:r w:rsidRPr="00F911B1">
              <w:rPr>
                <w:rFonts w:ascii="Times New Roman" w:hAnsi="Times New Roman"/>
                <w:color w:val="000000"/>
                <w:spacing w:val="-2"/>
                <w:szCs w:val="21"/>
              </w:rPr>
              <w:t>Przedmiotowa zmiana wpływa na konk</w:t>
            </w:r>
            <w:r>
              <w:rPr>
                <w:rFonts w:ascii="Times New Roman" w:hAnsi="Times New Roman"/>
                <w:color w:val="000000"/>
                <w:spacing w:val="-2"/>
                <w:szCs w:val="21"/>
              </w:rPr>
              <w:t>u</w:t>
            </w:r>
            <w:r w:rsidRPr="00F911B1">
              <w:rPr>
                <w:rFonts w:ascii="Times New Roman" w:hAnsi="Times New Roman"/>
                <w:color w:val="000000"/>
                <w:spacing w:val="-2"/>
                <w:szCs w:val="21"/>
              </w:rPr>
              <w:t xml:space="preserve">rencyjność podmiotów realizujących świadczenia gwarantowane względem podmiotów świadczących </w:t>
            </w:r>
            <w:r>
              <w:rPr>
                <w:rFonts w:ascii="Times New Roman" w:hAnsi="Times New Roman"/>
                <w:color w:val="000000"/>
                <w:spacing w:val="-2"/>
                <w:szCs w:val="21"/>
              </w:rPr>
              <w:t>nowo wprowadzane świadczenia w sektorze poza finansowaniem świadczeń ze środków publicznych.</w:t>
            </w:r>
          </w:p>
        </w:tc>
      </w:tr>
      <w:tr w:rsidR="002477A9" w:rsidRPr="00442C01" w14:paraId="5C5F1E93" w14:textId="77777777" w:rsidTr="00442C01">
        <w:trPr>
          <w:gridAfter w:val="1"/>
          <w:wAfter w:w="10" w:type="dxa"/>
          <w:trHeight w:val="142"/>
        </w:trPr>
        <w:tc>
          <w:tcPr>
            <w:tcW w:w="1596" w:type="dxa"/>
            <w:gridSpan w:val="2"/>
            <w:vMerge/>
            <w:shd w:val="clear" w:color="auto" w:fill="FFFFFF"/>
          </w:tcPr>
          <w:p w14:paraId="064BD5B2" w14:textId="77777777" w:rsidR="002477A9" w:rsidRPr="00442C01" w:rsidRDefault="002477A9" w:rsidP="00173D72">
            <w:pPr>
              <w:spacing w:after="0" w:line="240" w:lineRule="auto"/>
              <w:rPr>
                <w:rFonts w:ascii="Times New Roman" w:eastAsia="Calibri" w:hAnsi="Times New Roman" w:cs="Times New Roman"/>
                <w:color w:val="000000"/>
              </w:rPr>
            </w:pPr>
          </w:p>
        </w:tc>
        <w:tc>
          <w:tcPr>
            <w:tcW w:w="2293" w:type="dxa"/>
            <w:gridSpan w:val="6"/>
            <w:shd w:val="clear" w:color="auto" w:fill="FFFFFF"/>
          </w:tcPr>
          <w:p w14:paraId="2651C0D8" w14:textId="77777777" w:rsidR="002477A9" w:rsidRPr="00442C01" w:rsidRDefault="002477A9" w:rsidP="00173D72">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t>sektor mikro-, małych i średnich przedsiębiorstw</w:t>
            </w:r>
          </w:p>
        </w:tc>
        <w:tc>
          <w:tcPr>
            <w:tcW w:w="7048" w:type="dxa"/>
            <w:gridSpan w:val="20"/>
            <w:shd w:val="clear" w:color="auto" w:fill="FFFFFF"/>
          </w:tcPr>
          <w:p w14:paraId="295FD445" w14:textId="77777777" w:rsidR="002477A9" w:rsidRPr="00F911B1" w:rsidRDefault="002477A9" w:rsidP="00173D72">
            <w:pPr>
              <w:suppressAutoHyphens/>
              <w:autoSpaceDE w:val="0"/>
              <w:autoSpaceDN w:val="0"/>
              <w:adjustRightInd w:val="0"/>
              <w:spacing w:after="0" w:line="240" w:lineRule="auto"/>
              <w:jc w:val="both"/>
              <w:rPr>
                <w:rFonts w:ascii="Times New Roman" w:eastAsia="Times New Roman" w:hAnsi="Times New Roman" w:cs="Times New Roman"/>
                <w:bCs/>
                <w:lang w:eastAsia="pl-PL"/>
              </w:rPr>
            </w:pPr>
            <w:r w:rsidRPr="00F911B1">
              <w:rPr>
                <w:rFonts w:ascii="Times New Roman" w:hAnsi="Times New Roman"/>
                <w:color w:val="000000"/>
                <w:spacing w:val="-2"/>
                <w:szCs w:val="21"/>
              </w:rPr>
              <w:t>Przedmiotowa zmiana wpływa na konk</w:t>
            </w:r>
            <w:r>
              <w:rPr>
                <w:rFonts w:ascii="Times New Roman" w:hAnsi="Times New Roman"/>
                <w:color w:val="000000"/>
                <w:spacing w:val="-2"/>
                <w:szCs w:val="21"/>
              </w:rPr>
              <w:t>u</w:t>
            </w:r>
            <w:r w:rsidRPr="00F911B1">
              <w:rPr>
                <w:rFonts w:ascii="Times New Roman" w:hAnsi="Times New Roman"/>
                <w:color w:val="000000"/>
                <w:spacing w:val="-2"/>
                <w:szCs w:val="21"/>
              </w:rPr>
              <w:t xml:space="preserve">rencyjność podmiotów realizujących świadczenia gwarantowane względem podmiotów świadczących </w:t>
            </w:r>
            <w:r>
              <w:rPr>
                <w:rFonts w:ascii="Times New Roman" w:hAnsi="Times New Roman"/>
                <w:color w:val="000000"/>
                <w:spacing w:val="-2"/>
                <w:szCs w:val="21"/>
              </w:rPr>
              <w:t>nowo wprowadzane świadczenia w sektorze poza finansowaniem świadczeń ze środków publicznych.</w:t>
            </w:r>
          </w:p>
        </w:tc>
      </w:tr>
      <w:tr w:rsidR="002477A9" w:rsidRPr="00442C01" w14:paraId="721D2424" w14:textId="77777777" w:rsidTr="00442C01">
        <w:trPr>
          <w:gridAfter w:val="1"/>
          <w:wAfter w:w="10" w:type="dxa"/>
          <w:trHeight w:val="596"/>
        </w:trPr>
        <w:tc>
          <w:tcPr>
            <w:tcW w:w="1596" w:type="dxa"/>
            <w:gridSpan w:val="2"/>
            <w:vMerge/>
            <w:shd w:val="clear" w:color="auto" w:fill="FFFFFF"/>
          </w:tcPr>
          <w:p w14:paraId="4824E07E" w14:textId="77777777" w:rsidR="002477A9" w:rsidRPr="00442C01" w:rsidRDefault="002477A9" w:rsidP="00173D72">
            <w:pPr>
              <w:spacing w:after="0" w:line="240" w:lineRule="auto"/>
              <w:rPr>
                <w:rFonts w:ascii="Times New Roman" w:eastAsia="Calibri" w:hAnsi="Times New Roman" w:cs="Times New Roman"/>
                <w:color w:val="000000"/>
              </w:rPr>
            </w:pPr>
          </w:p>
        </w:tc>
        <w:tc>
          <w:tcPr>
            <w:tcW w:w="2293" w:type="dxa"/>
            <w:gridSpan w:val="6"/>
            <w:shd w:val="clear" w:color="auto" w:fill="FFFFFF"/>
          </w:tcPr>
          <w:p w14:paraId="49C51B9D" w14:textId="77777777" w:rsidR="002477A9" w:rsidRPr="00442C01" w:rsidRDefault="002477A9" w:rsidP="00173D72">
            <w:pPr>
              <w:tabs>
                <w:tab w:val="right" w:pos="1936"/>
              </w:tabs>
              <w:spacing w:after="0" w:line="240" w:lineRule="auto"/>
              <w:rPr>
                <w:rFonts w:ascii="Times New Roman" w:eastAsia="Calibri" w:hAnsi="Times New Roman" w:cs="Times New Roman"/>
                <w:color w:val="000000"/>
              </w:rPr>
            </w:pPr>
            <w:r w:rsidRPr="00442C01">
              <w:rPr>
                <w:rFonts w:ascii="Times New Roman" w:eastAsia="Calibri" w:hAnsi="Times New Roman" w:cs="Times New Roman"/>
              </w:rPr>
              <w:t>rodzina, obywatele oraz gospodarstwa domowe</w:t>
            </w:r>
            <w:r w:rsidRPr="00442C01">
              <w:rPr>
                <w:rFonts w:ascii="Times New Roman" w:eastAsia="Calibri" w:hAnsi="Times New Roman" w:cs="Times New Roman"/>
                <w:color w:val="000000"/>
              </w:rPr>
              <w:t xml:space="preserve"> </w:t>
            </w:r>
          </w:p>
        </w:tc>
        <w:tc>
          <w:tcPr>
            <w:tcW w:w="7048" w:type="dxa"/>
            <w:gridSpan w:val="20"/>
            <w:shd w:val="clear" w:color="auto" w:fill="FFFFFF"/>
          </w:tcPr>
          <w:p w14:paraId="29C127B5" w14:textId="77777777" w:rsidR="002477A9" w:rsidRPr="00F911B1" w:rsidRDefault="002477A9" w:rsidP="00173D72">
            <w:pPr>
              <w:spacing w:after="0" w:line="240" w:lineRule="auto"/>
              <w:rPr>
                <w:rFonts w:ascii="Times New Roman" w:eastAsia="Calibri" w:hAnsi="Times New Roman" w:cs="Times New Roman"/>
                <w:color w:val="000000"/>
                <w:spacing w:val="-2"/>
              </w:rPr>
            </w:pPr>
            <w:r w:rsidRPr="00F911B1">
              <w:rPr>
                <w:rFonts w:ascii="Times New Roman" w:hAnsi="Times New Roman"/>
                <w:color w:val="000000"/>
                <w:spacing w:val="-2"/>
                <w:szCs w:val="21"/>
              </w:rPr>
              <w:t>Świadczenia objęte finansowaniem ze środków publicznych wskutek wprowadzenia przedmiotowych regulacji zwiększają dostęp do świadczeń dla osób mających wskazania do u</w:t>
            </w:r>
            <w:r>
              <w:rPr>
                <w:rFonts w:ascii="Times New Roman" w:hAnsi="Times New Roman"/>
                <w:color w:val="000000"/>
                <w:spacing w:val="-2"/>
                <w:szCs w:val="21"/>
              </w:rPr>
              <w:t xml:space="preserve">zyskania </w:t>
            </w:r>
            <w:r w:rsidRPr="00F911B1">
              <w:rPr>
                <w:rFonts w:ascii="Times New Roman" w:hAnsi="Times New Roman"/>
                <w:color w:val="000000"/>
                <w:spacing w:val="-2"/>
                <w:szCs w:val="21"/>
              </w:rPr>
              <w:t>świadcze</w:t>
            </w:r>
            <w:r>
              <w:rPr>
                <w:rFonts w:ascii="Times New Roman" w:hAnsi="Times New Roman"/>
                <w:color w:val="000000"/>
                <w:spacing w:val="-2"/>
                <w:szCs w:val="21"/>
              </w:rPr>
              <w:t>nia</w:t>
            </w:r>
            <w:r w:rsidRPr="00F911B1">
              <w:rPr>
                <w:rFonts w:ascii="Times New Roman" w:hAnsi="Times New Roman"/>
                <w:color w:val="000000"/>
                <w:spacing w:val="-2"/>
                <w:szCs w:val="21"/>
              </w:rPr>
              <w:t xml:space="preserve">. Z uwagi na całkowite finansowanie </w:t>
            </w:r>
            <w:r>
              <w:rPr>
                <w:rFonts w:ascii="Times New Roman" w:hAnsi="Times New Roman"/>
                <w:color w:val="000000"/>
                <w:spacing w:val="-2"/>
                <w:szCs w:val="21"/>
              </w:rPr>
              <w:t xml:space="preserve">nowo wprowadzanych </w:t>
            </w:r>
            <w:r w:rsidRPr="00F911B1">
              <w:rPr>
                <w:rFonts w:ascii="Times New Roman" w:hAnsi="Times New Roman"/>
                <w:color w:val="000000"/>
                <w:spacing w:val="-2"/>
                <w:szCs w:val="21"/>
              </w:rPr>
              <w:t xml:space="preserve">świadczeń ze środków publicznych, </w:t>
            </w:r>
            <w:r>
              <w:rPr>
                <w:rFonts w:ascii="Times New Roman" w:hAnsi="Times New Roman"/>
                <w:color w:val="000000"/>
                <w:spacing w:val="-2"/>
                <w:szCs w:val="21"/>
              </w:rPr>
              <w:t>przedmiotowe</w:t>
            </w:r>
            <w:r w:rsidRPr="00F911B1">
              <w:rPr>
                <w:rFonts w:ascii="Times New Roman" w:hAnsi="Times New Roman"/>
                <w:color w:val="000000"/>
                <w:spacing w:val="-2"/>
                <w:szCs w:val="21"/>
              </w:rPr>
              <w:t xml:space="preserve"> regulacje odciążają</w:t>
            </w:r>
            <w:r>
              <w:rPr>
                <w:rFonts w:ascii="Times New Roman" w:hAnsi="Times New Roman"/>
                <w:color w:val="000000"/>
                <w:spacing w:val="-2"/>
                <w:szCs w:val="21"/>
              </w:rPr>
              <w:t xml:space="preserve"> budżety gospodarstw domowych o </w:t>
            </w:r>
            <w:r w:rsidRPr="00F911B1">
              <w:rPr>
                <w:rFonts w:ascii="Times New Roman" w:hAnsi="Times New Roman"/>
                <w:color w:val="000000"/>
                <w:spacing w:val="-2"/>
                <w:szCs w:val="21"/>
              </w:rPr>
              <w:t>szacowany w OSR skutek finansowy.</w:t>
            </w:r>
          </w:p>
        </w:tc>
      </w:tr>
      <w:tr w:rsidR="002477A9" w:rsidRPr="00442C01" w14:paraId="7B134A93" w14:textId="77777777" w:rsidTr="00442C01">
        <w:trPr>
          <w:gridAfter w:val="1"/>
          <w:wAfter w:w="10" w:type="dxa"/>
          <w:trHeight w:val="142"/>
        </w:trPr>
        <w:tc>
          <w:tcPr>
            <w:tcW w:w="1596" w:type="dxa"/>
            <w:gridSpan w:val="2"/>
            <w:vMerge w:val="restart"/>
            <w:shd w:val="clear" w:color="auto" w:fill="FFFFFF"/>
          </w:tcPr>
          <w:p w14:paraId="63006DAA" w14:textId="77777777" w:rsidR="002477A9" w:rsidRPr="00442C01" w:rsidRDefault="002477A9" w:rsidP="00173D72">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t>Niemierzalne</w:t>
            </w:r>
          </w:p>
        </w:tc>
        <w:tc>
          <w:tcPr>
            <w:tcW w:w="2293" w:type="dxa"/>
            <w:gridSpan w:val="6"/>
            <w:shd w:val="clear" w:color="auto" w:fill="FFFFFF"/>
          </w:tcPr>
          <w:p w14:paraId="227C04E0" w14:textId="77777777" w:rsidR="002477A9" w:rsidRPr="00442C01" w:rsidRDefault="002477A9" w:rsidP="00173D72">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442C01">
              <w:rPr>
                <w:rFonts w:ascii="Times New Roman" w:eastAsia="Calibri" w:hAnsi="Times New Roman" w:cs="Times New Roman"/>
                <w:color w:val="000000"/>
              </w:rPr>
              <w:instrText xml:space="preserve"> FORMTEXT </w:instrText>
            </w:r>
            <w:r w:rsidRPr="00442C01">
              <w:rPr>
                <w:rFonts w:ascii="Times New Roman" w:eastAsia="Calibri" w:hAnsi="Times New Roman" w:cs="Times New Roman"/>
                <w:color w:val="000000"/>
              </w:rPr>
            </w:r>
            <w:r w:rsidRPr="00442C01">
              <w:rPr>
                <w:rFonts w:ascii="Times New Roman" w:eastAsia="Calibri" w:hAnsi="Times New Roman" w:cs="Times New Roman"/>
                <w:color w:val="000000"/>
              </w:rPr>
              <w:fldChar w:fldCharType="separate"/>
            </w:r>
            <w:r w:rsidRPr="00442C01">
              <w:rPr>
                <w:rFonts w:ascii="Times New Roman" w:eastAsia="Calibri" w:hAnsi="Times New Roman" w:cs="Times New Roman"/>
                <w:noProof/>
                <w:color w:val="000000"/>
              </w:rPr>
              <w:t>(dodaj/usuń)</w:t>
            </w:r>
            <w:r w:rsidRPr="00442C01">
              <w:rPr>
                <w:rFonts w:ascii="Times New Roman" w:eastAsia="Calibri" w:hAnsi="Times New Roman" w:cs="Times New Roman"/>
                <w:color w:val="000000"/>
              </w:rPr>
              <w:fldChar w:fldCharType="end"/>
            </w:r>
          </w:p>
        </w:tc>
        <w:tc>
          <w:tcPr>
            <w:tcW w:w="7048" w:type="dxa"/>
            <w:gridSpan w:val="20"/>
            <w:shd w:val="clear" w:color="auto" w:fill="FFFFFF"/>
          </w:tcPr>
          <w:p w14:paraId="0AD3D15B" w14:textId="77777777" w:rsidR="002477A9" w:rsidRPr="00442C01" w:rsidRDefault="002477A9" w:rsidP="00173D72">
            <w:pPr>
              <w:spacing w:after="0" w:line="240" w:lineRule="auto"/>
              <w:rPr>
                <w:rFonts w:ascii="Times New Roman" w:eastAsia="Calibri" w:hAnsi="Times New Roman" w:cs="Times New Roman"/>
                <w:color w:val="000000"/>
                <w:spacing w:val="-2"/>
              </w:rPr>
            </w:pPr>
            <w:r>
              <w:rPr>
                <w:rFonts w:ascii="Times New Roman" w:eastAsia="Calibri" w:hAnsi="Times New Roman" w:cs="Times New Roman"/>
                <w:color w:val="000000"/>
                <w:spacing w:val="-2"/>
              </w:rPr>
              <w:t>-</w:t>
            </w:r>
          </w:p>
        </w:tc>
      </w:tr>
      <w:tr w:rsidR="002477A9" w:rsidRPr="00442C01" w14:paraId="57E9A53B" w14:textId="77777777" w:rsidTr="00442C01">
        <w:trPr>
          <w:gridAfter w:val="1"/>
          <w:wAfter w:w="10" w:type="dxa"/>
          <w:trHeight w:val="142"/>
        </w:trPr>
        <w:tc>
          <w:tcPr>
            <w:tcW w:w="1596" w:type="dxa"/>
            <w:gridSpan w:val="2"/>
            <w:vMerge/>
            <w:shd w:val="clear" w:color="auto" w:fill="FFFFFF"/>
          </w:tcPr>
          <w:p w14:paraId="2E20E449" w14:textId="77777777" w:rsidR="002477A9" w:rsidRPr="00442C01" w:rsidRDefault="002477A9" w:rsidP="00173D72">
            <w:pPr>
              <w:spacing w:after="0" w:line="240" w:lineRule="auto"/>
              <w:rPr>
                <w:rFonts w:ascii="Times New Roman" w:eastAsia="Calibri" w:hAnsi="Times New Roman" w:cs="Times New Roman"/>
                <w:color w:val="000000"/>
              </w:rPr>
            </w:pPr>
          </w:p>
        </w:tc>
        <w:tc>
          <w:tcPr>
            <w:tcW w:w="2293" w:type="dxa"/>
            <w:gridSpan w:val="6"/>
            <w:shd w:val="clear" w:color="auto" w:fill="FFFFFF"/>
          </w:tcPr>
          <w:p w14:paraId="3EE29A2A" w14:textId="77777777" w:rsidR="002477A9" w:rsidRPr="00442C01" w:rsidRDefault="002477A9" w:rsidP="00173D72">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442C01">
              <w:rPr>
                <w:rFonts w:ascii="Times New Roman" w:eastAsia="Calibri" w:hAnsi="Times New Roman" w:cs="Times New Roman"/>
                <w:color w:val="000000"/>
              </w:rPr>
              <w:instrText xml:space="preserve"> FORMTEXT </w:instrText>
            </w:r>
            <w:r w:rsidRPr="00442C01">
              <w:rPr>
                <w:rFonts w:ascii="Times New Roman" w:eastAsia="Calibri" w:hAnsi="Times New Roman" w:cs="Times New Roman"/>
                <w:color w:val="000000"/>
              </w:rPr>
            </w:r>
            <w:r w:rsidRPr="00442C01">
              <w:rPr>
                <w:rFonts w:ascii="Times New Roman" w:eastAsia="Calibri" w:hAnsi="Times New Roman" w:cs="Times New Roman"/>
                <w:color w:val="000000"/>
              </w:rPr>
              <w:fldChar w:fldCharType="separate"/>
            </w:r>
            <w:r w:rsidRPr="00442C01">
              <w:rPr>
                <w:rFonts w:ascii="Times New Roman" w:eastAsia="Calibri" w:hAnsi="Times New Roman" w:cs="Times New Roman"/>
                <w:noProof/>
                <w:color w:val="000000"/>
              </w:rPr>
              <w:t>(dodaj/usuń)</w:t>
            </w:r>
            <w:r w:rsidRPr="00442C01">
              <w:rPr>
                <w:rFonts w:ascii="Times New Roman" w:eastAsia="Calibri" w:hAnsi="Times New Roman" w:cs="Times New Roman"/>
                <w:color w:val="000000"/>
              </w:rPr>
              <w:fldChar w:fldCharType="end"/>
            </w:r>
          </w:p>
        </w:tc>
        <w:tc>
          <w:tcPr>
            <w:tcW w:w="7048" w:type="dxa"/>
            <w:gridSpan w:val="20"/>
            <w:shd w:val="clear" w:color="auto" w:fill="FFFFFF"/>
          </w:tcPr>
          <w:p w14:paraId="16410857" w14:textId="77777777" w:rsidR="002477A9" w:rsidRPr="00442C01" w:rsidRDefault="002477A9" w:rsidP="00173D72">
            <w:pPr>
              <w:spacing w:after="0" w:line="240" w:lineRule="auto"/>
              <w:rPr>
                <w:rFonts w:ascii="Times New Roman" w:eastAsia="Calibri" w:hAnsi="Times New Roman" w:cs="Times New Roman"/>
                <w:color w:val="000000"/>
                <w:spacing w:val="-2"/>
              </w:rPr>
            </w:pPr>
            <w:r>
              <w:rPr>
                <w:rFonts w:ascii="Times New Roman" w:eastAsia="Calibri" w:hAnsi="Times New Roman" w:cs="Times New Roman"/>
                <w:color w:val="000000"/>
                <w:spacing w:val="-2"/>
              </w:rPr>
              <w:t>-</w:t>
            </w:r>
          </w:p>
        </w:tc>
      </w:tr>
      <w:tr w:rsidR="002477A9" w:rsidRPr="00442C01" w14:paraId="299D7D6B" w14:textId="77777777" w:rsidTr="00C761E8">
        <w:trPr>
          <w:gridAfter w:val="1"/>
          <w:wAfter w:w="10" w:type="dxa"/>
          <w:trHeight w:val="1364"/>
        </w:trPr>
        <w:tc>
          <w:tcPr>
            <w:tcW w:w="1589" w:type="dxa"/>
            <w:shd w:val="clear" w:color="auto" w:fill="FFFFFF"/>
          </w:tcPr>
          <w:p w14:paraId="3974A80B" w14:textId="77777777" w:rsidR="002477A9" w:rsidRPr="00442C01" w:rsidRDefault="002477A9" w:rsidP="00173D72">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t xml:space="preserve">Dodatkowe informacje, w tym wskazanie źródeł danych i przyjętych do obliczeń założeń </w:t>
            </w:r>
          </w:p>
        </w:tc>
        <w:tc>
          <w:tcPr>
            <w:tcW w:w="9348" w:type="dxa"/>
            <w:gridSpan w:val="27"/>
            <w:shd w:val="clear" w:color="auto" w:fill="FFFFFF"/>
            <w:vAlign w:val="center"/>
          </w:tcPr>
          <w:p w14:paraId="4B5F7F25" w14:textId="77777777" w:rsidR="002477A9" w:rsidRPr="00442C01" w:rsidRDefault="002477A9" w:rsidP="00173D72">
            <w:pPr>
              <w:spacing w:after="0" w:line="240" w:lineRule="auto"/>
              <w:jc w:val="both"/>
              <w:rPr>
                <w:rFonts w:ascii="Times New Roman" w:eastAsia="Calibri" w:hAnsi="Times New Roman" w:cs="Times New Roman"/>
              </w:rPr>
            </w:pPr>
            <w:r>
              <w:rPr>
                <w:rFonts w:ascii="Times New Roman" w:eastAsia="Calibri" w:hAnsi="Times New Roman" w:cs="Times New Roman"/>
              </w:rPr>
              <w:t>-</w:t>
            </w:r>
          </w:p>
        </w:tc>
      </w:tr>
      <w:tr w:rsidR="002477A9" w:rsidRPr="00442C01" w14:paraId="6FF7BB42" w14:textId="77777777" w:rsidTr="00442C01">
        <w:trPr>
          <w:gridAfter w:val="1"/>
          <w:wAfter w:w="10" w:type="dxa"/>
          <w:trHeight w:val="342"/>
        </w:trPr>
        <w:tc>
          <w:tcPr>
            <w:tcW w:w="10937" w:type="dxa"/>
            <w:gridSpan w:val="28"/>
            <w:shd w:val="clear" w:color="auto" w:fill="99CCFF"/>
            <w:vAlign w:val="center"/>
          </w:tcPr>
          <w:p w14:paraId="19E13695" w14:textId="77777777" w:rsidR="002477A9" w:rsidRPr="00442C01" w:rsidRDefault="002477A9" w:rsidP="00173D72">
            <w:pPr>
              <w:numPr>
                <w:ilvl w:val="0"/>
                <w:numId w:val="1"/>
              </w:numPr>
              <w:spacing w:after="0" w:line="240" w:lineRule="auto"/>
              <w:ind w:left="318" w:hanging="284"/>
              <w:jc w:val="both"/>
              <w:rPr>
                <w:rFonts w:ascii="Times New Roman" w:eastAsia="Calibri" w:hAnsi="Times New Roman" w:cs="Times New Roman"/>
                <w:b/>
                <w:color w:val="000000"/>
              </w:rPr>
            </w:pPr>
            <w:r w:rsidRPr="00442C01">
              <w:rPr>
                <w:rFonts w:ascii="Times New Roman" w:eastAsia="Calibri" w:hAnsi="Times New Roman" w:cs="Times New Roman"/>
                <w:b/>
                <w:color w:val="000000"/>
              </w:rPr>
              <w:t xml:space="preserve"> Zmiana obciążeń regulacyjnych (w tym obowiązków informacyjnych) wynikających z projektu</w:t>
            </w:r>
          </w:p>
        </w:tc>
      </w:tr>
      <w:tr w:rsidR="002477A9" w:rsidRPr="00442C01" w14:paraId="27AB8D0D" w14:textId="77777777" w:rsidTr="00442C01">
        <w:trPr>
          <w:gridAfter w:val="1"/>
          <w:wAfter w:w="10" w:type="dxa"/>
          <w:trHeight w:val="151"/>
        </w:trPr>
        <w:tc>
          <w:tcPr>
            <w:tcW w:w="10937" w:type="dxa"/>
            <w:gridSpan w:val="28"/>
            <w:shd w:val="clear" w:color="auto" w:fill="FFFFFF"/>
          </w:tcPr>
          <w:p w14:paraId="0DD7B79C" w14:textId="77777777" w:rsidR="002477A9" w:rsidRPr="00442C01" w:rsidRDefault="002477A9" w:rsidP="00173D72">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t xml:space="preserve">X </w:t>
            </w:r>
            <w:r w:rsidRPr="00442C01">
              <w:rPr>
                <w:rFonts w:ascii="Times New Roman" w:eastAsia="Calibri" w:hAnsi="Times New Roman" w:cs="Times New Roman"/>
                <w:color w:val="000000"/>
                <w:spacing w:val="-2"/>
              </w:rPr>
              <w:t>nie dotyczy</w:t>
            </w:r>
          </w:p>
        </w:tc>
      </w:tr>
      <w:tr w:rsidR="002477A9" w:rsidRPr="00442C01" w14:paraId="093A7BB3" w14:textId="77777777" w:rsidTr="00442C01">
        <w:trPr>
          <w:gridAfter w:val="1"/>
          <w:wAfter w:w="10" w:type="dxa"/>
          <w:trHeight w:val="946"/>
        </w:trPr>
        <w:tc>
          <w:tcPr>
            <w:tcW w:w="5111" w:type="dxa"/>
            <w:gridSpan w:val="12"/>
            <w:shd w:val="clear" w:color="auto" w:fill="FFFFFF"/>
          </w:tcPr>
          <w:p w14:paraId="7B4EFA18" w14:textId="77777777" w:rsidR="002477A9" w:rsidRPr="00442C01" w:rsidRDefault="002477A9" w:rsidP="00173D72">
            <w:pPr>
              <w:spacing w:after="0"/>
              <w:rPr>
                <w:rFonts w:ascii="Times New Roman" w:eastAsia="Calibri" w:hAnsi="Times New Roman" w:cs="Times New Roman"/>
                <w:color w:val="000000"/>
                <w:spacing w:val="-2"/>
              </w:rPr>
            </w:pPr>
            <w:r w:rsidRPr="00442C01">
              <w:rPr>
                <w:rFonts w:ascii="Times New Roman" w:eastAsia="Calibri" w:hAnsi="Times New Roman" w:cs="Times New Roman"/>
                <w:color w:val="000000"/>
                <w:spacing w:val="-2"/>
              </w:rPr>
              <w:lastRenderedPageBreak/>
              <w:t xml:space="preserve">Wprowadzane są obciążenia poza bezwzględnie wymaganymi przez UE </w:t>
            </w:r>
            <w:r w:rsidRPr="00442C01">
              <w:rPr>
                <w:rFonts w:ascii="Times New Roman" w:eastAsia="Calibri" w:hAnsi="Times New Roman" w:cs="Times New Roman"/>
                <w:color w:val="000000"/>
              </w:rPr>
              <w:t>(szczegóły w odwróconej tabeli zgodności).</w:t>
            </w:r>
          </w:p>
        </w:tc>
        <w:tc>
          <w:tcPr>
            <w:tcW w:w="5826" w:type="dxa"/>
            <w:gridSpan w:val="16"/>
            <w:shd w:val="clear" w:color="auto" w:fill="FFFFFF"/>
          </w:tcPr>
          <w:p w14:paraId="1FDD6AC6" w14:textId="77777777" w:rsidR="002477A9" w:rsidRPr="00442C01" w:rsidRDefault="002477A9" w:rsidP="00173D72">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fldChar w:fldCharType="begin">
                <w:ffData>
                  <w:name w:val="Wybór1"/>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335DC6">
              <w:rPr>
                <w:rFonts w:ascii="Times New Roman" w:eastAsia="Calibri" w:hAnsi="Times New Roman" w:cs="Times New Roman"/>
                <w:color w:val="000000"/>
              </w:rPr>
            </w:r>
            <w:r w:rsidR="00335DC6">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tak</w:t>
            </w:r>
          </w:p>
          <w:p w14:paraId="0C55F1BE" w14:textId="77777777" w:rsidR="002477A9" w:rsidRPr="00442C01" w:rsidRDefault="002477A9" w:rsidP="00173D72">
            <w:pPr>
              <w:spacing w:after="0"/>
              <w:rPr>
                <w:rFonts w:ascii="Times New Roman" w:eastAsia="Calibri" w:hAnsi="Times New Roman" w:cs="Times New Roman"/>
                <w:color w:val="000000"/>
              </w:rPr>
            </w:pPr>
            <w:r w:rsidRPr="00442C01">
              <w:rPr>
                <w:rFonts w:ascii="Times New Roman" w:eastAsia="Calibri" w:hAnsi="Times New Roman" w:cs="Times New Roman"/>
                <w:color w:val="000000"/>
              </w:rPr>
              <w:fldChar w:fldCharType="begin">
                <w:ffData>
                  <w:name w:val="Wybór1"/>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335DC6">
              <w:rPr>
                <w:rFonts w:ascii="Times New Roman" w:eastAsia="Calibri" w:hAnsi="Times New Roman" w:cs="Times New Roman"/>
                <w:color w:val="000000"/>
              </w:rPr>
            </w:r>
            <w:r w:rsidR="00335DC6">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nie</w:t>
            </w:r>
          </w:p>
          <w:p w14:paraId="5827C842" w14:textId="77777777" w:rsidR="002477A9" w:rsidRPr="00442C01" w:rsidRDefault="002477A9" w:rsidP="00173D72">
            <w:pPr>
              <w:spacing w:after="0"/>
              <w:rPr>
                <w:rFonts w:ascii="Times New Roman" w:eastAsia="Calibri" w:hAnsi="Times New Roman" w:cs="Times New Roman"/>
                <w:color w:val="000000"/>
              </w:rPr>
            </w:pPr>
            <w:r w:rsidRPr="00442C01">
              <w:rPr>
                <w:rFonts w:ascii="Times New Roman" w:eastAsia="Calibri" w:hAnsi="Times New Roman" w:cs="Times New Roman"/>
                <w:color w:val="000000"/>
              </w:rPr>
              <w:t>X  nie dotyczy</w:t>
            </w:r>
          </w:p>
        </w:tc>
      </w:tr>
      <w:tr w:rsidR="002477A9" w:rsidRPr="00442C01" w14:paraId="0F1EFEF5" w14:textId="77777777" w:rsidTr="00442C01">
        <w:trPr>
          <w:gridAfter w:val="1"/>
          <w:wAfter w:w="10" w:type="dxa"/>
          <w:trHeight w:val="1245"/>
        </w:trPr>
        <w:tc>
          <w:tcPr>
            <w:tcW w:w="5111" w:type="dxa"/>
            <w:gridSpan w:val="12"/>
            <w:shd w:val="clear" w:color="auto" w:fill="FFFFFF"/>
          </w:tcPr>
          <w:p w14:paraId="23A82ED6" w14:textId="77777777" w:rsidR="002477A9" w:rsidRPr="00442C01" w:rsidRDefault="002477A9" w:rsidP="00173D72">
            <w:pPr>
              <w:spacing w:after="0" w:line="240" w:lineRule="auto"/>
              <w:rPr>
                <w:rFonts w:ascii="Times New Roman" w:eastAsia="Calibri" w:hAnsi="Times New Roman" w:cs="Times New Roman"/>
                <w:color w:val="000000"/>
                <w:spacing w:val="-2"/>
              </w:rPr>
            </w:pPr>
            <w:r w:rsidRPr="00442C01">
              <w:rPr>
                <w:rFonts w:ascii="Times New Roman" w:eastAsia="Calibri" w:hAnsi="Times New Roman" w:cs="Times New Roman"/>
                <w:color w:val="000000"/>
              </w:rPr>
              <w:fldChar w:fldCharType="begin">
                <w:ffData>
                  <w:name w:val="Wybór1"/>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335DC6">
              <w:rPr>
                <w:rFonts w:ascii="Times New Roman" w:eastAsia="Calibri" w:hAnsi="Times New Roman" w:cs="Times New Roman"/>
                <w:color w:val="000000"/>
              </w:rPr>
            </w:r>
            <w:r w:rsidR="00335DC6">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w:t>
            </w:r>
            <w:r w:rsidRPr="00442C01">
              <w:rPr>
                <w:rFonts w:ascii="Times New Roman" w:eastAsia="Calibri" w:hAnsi="Times New Roman" w:cs="Times New Roman"/>
                <w:color w:val="000000"/>
                <w:spacing w:val="-2"/>
              </w:rPr>
              <w:t xml:space="preserve">zmniejszenie liczby dokumentów </w:t>
            </w:r>
          </w:p>
          <w:p w14:paraId="0619930D" w14:textId="77777777" w:rsidR="002477A9" w:rsidRPr="00442C01" w:rsidRDefault="002477A9" w:rsidP="00173D72">
            <w:pPr>
              <w:spacing w:after="0" w:line="240" w:lineRule="auto"/>
              <w:rPr>
                <w:rFonts w:ascii="Times New Roman" w:eastAsia="Calibri" w:hAnsi="Times New Roman" w:cs="Times New Roman"/>
                <w:color w:val="000000"/>
                <w:spacing w:val="-2"/>
              </w:rPr>
            </w:pPr>
            <w:r w:rsidRPr="00442C01">
              <w:rPr>
                <w:rFonts w:ascii="Times New Roman" w:eastAsia="Calibri" w:hAnsi="Times New Roman" w:cs="Times New Roman"/>
                <w:color w:val="000000"/>
              </w:rPr>
              <w:fldChar w:fldCharType="begin">
                <w:ffData>
                  <w:name w:val="Wybór1"/>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335DC6">
              <w:rPr>
                <w:rFonts w:ascii="Times New Roman" w:eastAsia="Calibri" w:hAnsi="Times New Roman" w:cs="Times New Roman"/>
                <w:color w:val="000000"/>
              </w:rPr>
            </w:r>
            <w:r w:rsidR="00335DC6">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w:t>
            </w:r>
            <w:r w:rsidRPr="00442C01">
              <w:rPr>
                <w:rFonts w:ascii="Times New Roman" w:eastAsia="Calibri" w:hAnsi="Times New Roman" w:cs="Times New Roman"/>
                <w:color w:val="000000"/>
                <w:spacing w:val="-2"/>
              </w:rPr>
              <w:t>zmniejszenie liczby procedur</w:t>
            </w:r>
          </w:p>
          <w:p w14:paraId="1E2AFBE4" w14:textId="77777777" w:rsidR="002477A9" w:rsidRPr="00442C01" w:rsidRDefault="002477A9" w:rsidP="00173D72">
            <w:pPr>
              <w:spacing w:after="0" w:line="240" w:lineRule="auto"/>
              <w:rPr>
                <w:rFonts w:ascii="Times New Roman" w:eastAsia="Calibri" w:hAnsi="Times New Roman" w:cs="Times New Roman"/>
                <w:color w:val="000000"/>
                <w:spacing w:val="-2"/>
              </w:rPr>
            </w:pPr>
            <w:r w:rsidRPr="00442C01">
              <w:rPr>
                <w:rFonts w:ascii="Times New Roman" w:eastAsia="Calibri" w:hAnsi="Times New Roman" w:cs="Times New Roman"/>
                <w:color w:val="000000"/>
              </w:rPr>
              <w:fldChar w:fldCharType="begin">
                <w:ffData>
                  <w:name w:val=""/>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335DC6">
              <w:rPr>
                <w:rFonts w:ascii="Times New Roman" w:eastAsia="Calibri" w:hAnsi="Times New Roman" w:cs="Times New Roman"/>
                <w:color w:val="000000"/>
              </w:rPr>
            </w:r>
            <w:r w:rsidR="00335DC6">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w:t>
            </w:r>
            <w:r w:rsidRPr="00442C01">
              <w:rPr>
                <w:rFonts w:ascii="Times New Roman" w:eastAsia="Calibri" w:hAnsi="Times New Roman" w:cs="Times New Roman"/>
                <w:color w:val="000000"/>
                <w:spacing w:val="-2"/>
              </w:rPr>
              <w:t>skrócenie czasu na załatwienie sprawy</w:t>
            </w:r>
          </w:p>
          <w:p w14:paraId="720E2D12" w14:textId="77777777" w:rsidR="002477A9" w:rsidRPr="00442C01" w:rsidRDefault="002477A9" w:rsidP="00173D72">
            <w:pPr>
              <w:spacing w:after="0" w:line="240" w:lineRule="auto"/>
              <w:rPr>
                <w:rFonts w:ascii="Times New Roman" w:eastAsia="Calibri" w:hAnsi="Times New Roman" w:cs="Times New Roman"/>
                <w:b/>
                <w:color w:val="000000"/>
                <w:spacing w:val="-2"/>
              </w:rPr>
            </w:pPr>
            <w:r w:rsidRPr="00442C01">
              <w:rPr>
                <w:rFonts w:ascii="Times New Roman" w:eastAsia="Calibri" w:hAnsi="Times New Roman" w:cs="Times New Roman"/>
                <w:color w:val="000000"/>
              </w:rPr>
              <w:fldChar w:fldCharType="begin">
                <w:ffData>
                  <w:name w:val="Wybór1"/>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335DC6">
              <w:rPr>
                <w:rFonts w:ascii="Times New Roman" w:eastAsia="Calibri" w:hAnsi="Times New Roman" w:cs="Times New Roman"/>
                <w:color w:val="000000"/>
              </w:rPr>
            </w:r>
            <w:r w:rsidR="00335DC6">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w:t>
            </w:r>
            <w:r w:rsidRPr="00442C01">
              <w:rPr>
                <w:rFonts w:ascii="Times New Roman" w:eastAsia="Calibri" w:hAnsi="Times New Roman" w:cs="Times New Roman"/>
                <w:color w:val="000000"/>
                <w:spacing w:val="-2"/>
              </w:rPr>
              <w:t>inne:</w:t>
            </w:r>
            <w:r w:rsidRPr="00442C01">
              <w:rPr>
                <w:rFonts w:ascii="Times New Roman" w:eastAsia="Calibri" w:hAnsi="Times New Roman" w:cs="Times New Roman"/>
                <w:color w:val="000000"/>
              </w:rPr>
              <w:t xml:space="preserve"> </w:t>
            </w:r>
            <w:r w:rsidRPr="00442C01">
              <w:rPr>
                <w:rFonts w:ascii="Times New Roman" w:eastAsia="Calibri" w:hAnsi="Times New Roman" w:cs="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442C01">
              <w:rPr>
                <w:rFonts w:ascii="Times New Roman" w:eastAsia="Calibri" w:hAnsi="Times New Roman" w:cs="Times New Roman"/>
                <w:color w:val="000000"/>
              </w:rPr>
              <w:instrText xml:space="preserve"> FORMTEXT </w:instrText>
            </w:r>
            <w:r w:rsidRPr="00442C01">
              <w:rPr>
                <w:rFonts w:ascii="Times New Roman" w:eastAsia="Calibri" w:hAnsi="Times New Roman" w:cs="Times New Roman"/>
                <w:color w:val="000000"/>
              </w:rPr>
            </w:r>
            <w:r w:rsidRPr="00442C01">
              <w:rPr>
                <w:rFonts w:ascii="Times New Roman" w:eastAsia="Calibri" w:hAnsi="Times New Roman" w:cs="Times New Roman"/>
                <w:color w:val="000000"/>
              </w:rPr>
              <w:fldChar w:fldCharType="separate"/>
            </w:r>
            <w:r w:rsidRPr="00442C01">
              <w:rPr>
                <w:rFonts w:ascii="Times New Roman" w:eastAsia="Calibri" w:hAnsi="Times New Roman" w:cs="Times New Roman"/>
                <w:noProof/>
                <w:color w:val="000000"/>
              </w:rPr>
              <w:t> </w:t>
            </w:r>
            <w:r w:rsidRPr="00442C01">
              <w:rPr>
                <w:rFonts w:ascii="Times New Roman" w:eastAsia="Calibri" w:hAnsi="Times New Roman" w:cs="Times New Roman"/>
                <w:noProof/>
                <w:color w:val="000000"/>
              </w:rPr>
              <w:t> </w:t>
            </w:r>
            <w:r w:rsidRPr="00442C01">
              <w:rPr>
                <w:rFonts w:ascii="Times New Roman" w:eastAsia="Calibri" w:hAnsi="Times New Roman" w:cs="Times New Roman"/>
                <w:noProof/>
                <w:color w:val="000000"/>
              </w:rPr>
              <w:t> </w:t>
            </w:r>
            <w:r w:rsidRPr="00442C01">
              <w:rPr>
                <w:rFonts w:ascii="Times New Roman" w:eastAsia="Calibri" w:hAnsi="Times New Roman" w:cs="Times New Roman"/>
                <w:noProof/>
                <w:color w:val="000000"/>
              </w:rPr>
              <w:t> </w:t>
            </w:r>
            <w:r w:rsidRPr="00442C01">
              <w:rPr>
                <w:rFonts w:ascii="Times New Roman" w:eastAsia="Calibri" w:hAnsi="Times New Roman" w:cs="Times New Roman"/>
                <w:noProof/>
                <w:color w:val="000000"/>
              </w:rPr>
              <w:t> </w:t>
            </w:r>
            <w:r w:rsidRPr="00442C01">
              <w:rPr>
                <w:rFonts w:ascii="Times New Roman" w:eastAsia="Calibri" w:hAnsi="Times New Roman" w:cs="Times New Roman"/>
                <w:color w:val="000000"/>
              </w:rPr>
              <w:fldChar w:fldCharType="end"/>
            </w:r>
          </w:p>
        </w:tc>
        <w:tc>
          <w:tcPr>
            <w:tcW w:w="5826" w:type="dxa"/>
            <w:gridSpan w:val="16"/>
            <w:shd w:val="clear" w:color="auto" w:fill="FFFFFF"/>
          </w:tcPr>
          <w:p w14:paraId="24E4042D" w14:textId="77777777" w:rsidR="002477A9" w:rsidRPr="00442C01" w:rsidRDefault="002477A9" w:rsidP="00173D72">
            <w:pPr>
              <w:spacing w:after="0" w:line="240" w:lineRule="auto"/>
              <w:rPr>
                <w:rFonts w:ascii="Times New Roman" w:eastAsia="Calibri" w:hAnsi="Times New Roman" w:cs="Times New Roman"/>
                <w:color w:val="000000"/>
                <w:spacing w:val="-2"/>
              </w:rPr>
            </w:pPr>
            <w:r w:rsidRPr="00442C01">
              <w:rPr>
                <w:rFonts w:ascii="Times New Roman" w:eastAsia="Calibri" w:hAnsi="Times New Roman" w:cs="Times New Roman"/>
                <w:color w:val="000000"/>
              </w:rPr>
              <w:fldChar w:fldCharType="begin">
                <w:ffData>
                  <w:name w:val="Wybór1"/>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335DC6">
              <w:rPr>
                <w:rFonts w:ascii="Times New Roman" w:eastAsia="Calibri" w:hAnsi="Times New Roman" w:cs="Times New Roman"/>
                <w:color w:val="000000"/>
              </w:rPr>
            </w:r>
            <w:r w:rsidR="00335DC6">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w:t>
            </w:r>
            <w:r w:rsidRPr="00442C01">
              <w:rPr>
                <w:rFonts w:ascii="Times New Roman" w:eastAsia="Calibri" w:hAnsi="Times New Roman" w:cs="Times New Roman"/>
                <w:color w:val="000000"/>
                <w:spacing w:val="-2"/>
              </w:rPr>
              <w:t>zwiększenie liczby dokumentów</w:t>
            </w:r>
          </w:p>
          <w:p w14:paraId="5A80F6E8" w14:textId="77777777" w:rsidR="002477A9" w:rsidRPr="00442C01" w:rsidRDefault="002477A9" w:rsidP="00173D72">
            <w:pPr>
              <w:spacing w:after="0" w:line="240" w:lineRule="auto"/>
              <w:rPr>
                <w:rFonts w:ascii="Times New Roman" w:eastAsia="Calibri" w:hAnsi="Times New Roman" w:cs="Times New Roman"/>
                <w:color w:val="000000"/>
                <w:spacing w:val="-2"/>
              </w:rPr>
            </w:pPr>
            <w:r w:rsidRPr="00442C01">
              <w:rPr>
                <w:rFonts w:ascii="Times New Roman" w:eastAsia="Calibri" w:hAnsi="Times New Roman" w:cs="Times New Roman"/>
                <w:color w:val="000000"/>
              </w:rPr>
              <w:fldChar w:fldCharType="begin">
                <w:ffData>
                  <w:name w:val="Wybór1"/>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335DC6">
              <w:rPr>
                <w:rFonts w:ascii="Times New Roman" w:eastAsia="Calibri" w:hAnsi="Times New Roman" w:cs="Times New Roman"/>
                <w:color w:val="000000"/>
              </w:rPr>
            </w:r>
            <w:r w:rsidR="00335DC6">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w:t>
            </w:r>
            <w:r w:rsidRPr="00442C01">
              <w:rPr>
                <w:rFonts w:ascii="Times New Roman" w:eastAsia="Calibri" w:hAnsi="Times New Roman" w:cs="Times New Roman"/>
                <w:color w:val="000000"/>
                <w:spacing w:val="-2"/>
              </w:rPr>
              <w:t>zwiększenie liczby procedur</w:t>
            </w:r>
          </w:p>
          <w:p w14:paraId="208D03D7" w14:textId="77777777" w:rsidR="002477A9" w:rsidRPr="00442C01" w:rsidRDefault="002477A9" w:rsidP="00173D72">
            <w:pPr>
              <w:spacing w:after="0" w:line="240" w:lineRule="auto"/>
              <w:rPr>
                <w:rFonts w:ascii="Times New Roman" w:eastAsia="Calibri" w:hAnsi="Times New Roman" w:cs="Times New Roman"/>
                <w:color w:val="000000"/>
                <w:spacing w:val="-2"/>
              </w:rPr>
            </w:pPr>
            <w:r w:rsidRPr="00442C01">
              <w:rPr>
                <w:rFonts w:ascii="Times New Roman" w:eastAsia="Calibri" w:hAnsi="Times New Roman" w:cs="Times New Roman"/>
                <w:color w:val="000000"/>
              </w:rPr>
              <w:fldChar w:fldCharType="begin">
                <w:ffData>
                  <w:name w:val="Wybór1"/>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335DC6">
              <w:rPr>
                <w:rFonts w:ascii="Times New Roman" w:eastAsia="Calibri" w:hAnsi="Times New Roman" w:cs="Times New Roman"/>
                <w:color w:val="000000"/>
              </w:rPr>
            </w:r>
            <w:r w:rsidR="00335DC6">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w:t>
            </w:r>
            <w:r w:rsidRPr="00442C01">
              <w:rPr>
                <w:rFonts w:ascii="Times New Roman" w:eastAsia="Calibri" w:hAnsi="Times New Roman" w:cs="Times New Roman"/>
                <w:color w:val="000000"/>
                <w:spacing w:val="-2"/>
              </w:rPr>
              <w:t>wydłużenie czasu na załatwienie sprawy</w:t>
            </w:r>
          </w:p>
          <w:p w14:paraId="5CD9159D" w14:textId="77777777" w:rsidR="002477A9" w:rsidRPr="00442C01" w:rsidRDefault="002477A9" w:rsidP="00173D72">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fldChar w:fldCharType="begin">
                <w:ffData>
                  <w:name w:val="Wybór1"/>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335DC6">
              <w:rPr>
                <w:rFonts w:ascii="Times New Roman" w:eastAsia="Calibri" w:hAnsi="Times New Roman" w:cs="Times New Roman"/>
                <w:color w:val="000000"/>
              </w:rPr>
            </w:r>
            <w:r w:rsidR="00335DC6">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w:t>
            </w:r>
            <w:r w:rsidRPr="00442C01">
              <w:rPr>
                <w:rFonts w:ascii="Times New Roman" w:eastAsia="Calibri" w:hAnsi="Times New Roman" w:cs="Times New Roman"/>
                <w:color w:val="000000"/>
                <w:spacing w:val="-2"/>
              </w:rPr>
              <w:t>inne:</w:t>
            </w:r>
            <w:r w:rsidRPr="00442C01">
              <w:rPr>
                <w:rFonts w:ascii="Times New Roman" w:eastAsia="Calibri" w:hAnsi="Times New Roman" w:cs="Times New Roman"/>
                <w:color w:val="000000"/>
              </w:rPr>
              <w:t xml:space="preserve"> </w:t>
            </w:r>
            <w:r w:rsidRPr="00442C01">
              <w:rPr>
                <w:rFonts w:ascii="Times New Roman" w:eastAsia="Calibri" w:hAnsi="Times New Roman" w:cs="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442C01">
              <w:rPr>
                <w:rFonts w:ascii="Times New Roman" w:eastAsia="Calibri" w:hAnsi="Times New Roman" w:cs="Times New Roman"/>
                <w:color w:val="000000"/>
              </w:rPr>
              <w:instrText xml:space="preserve"> FORMTEXT </w:instrText>
            </w:r>
            <w:r w:rsidRPr="00442C01">
              <w:rPr>
                <w:rFonts w:ascii="Times New Roman" w:eastAsia="Calibri" w:hAnsi="Times New Roman" w:cs="Times New Roman"/>
                <w:color w:val="000000"/>
              </w:rPr>
            </w:r>
            <w:r w:rsidRPr="00442C01">
              <w:rPr>
                <w:rFonts w:ascii="Times New Roman" w:eastAsia="Calibri" w:hAnsi="Times New Roman" w:cs="Times New Roman"/>
                <w:color w:val="000000"/>
              </w:rPr>
              <w:fldChar w:fldCharType="separate"/>
            </w:r>
            <w:r w:rsidRPr="00442C01">
              <w:rPr>
                <w:rFonts w:ascii="Times New Roman" w:eastAsia="Calibri" w:hAnsi="Times New Roman" w:cs="Times New Roman"/>
                <w:noProof/>
                <w:color w:val="000000"/>
              </w:rPr>
              <w:t> </w:t>
            </w:r>
            <w:r w:rsidRPr="00442C01">
              <w:rPr>
                <w:rFonts w:ascii="Times New Roman" w:eastAsia="Calibri" w:hAnsi="Times New Roman" w:cs="Times New Roman"/>
                <w:noProof/>
                <w:color w:val="000000"/>
              </w:rPr>
              <w:t> </w:t>
            </w:r>
            <w:r w:rsidRPr="00442C01">
              <w:rPr>
                <w:rFonts w:ascii="Times New Roman" w:eastAsia="Calibri" w:hAnsi="Times New Roman" w:cs="Times New Roman"/>
                <w:noProof/>
                <w:color w:val="000000"/>
              </w:rPr>
              <w:t> </w:t>
            </w:r>
            <w:r w:rsidRPr="00442C01">
              <w:rPr>
                <w:rFonts w:ascii="Times New Roman" w:eastAsia="Calibri" w:hAnsi="Times New Roman" w:cs="Times New Roman"/>
                <w:noProof/>
                <w:color w:val="000000"/>
              </w:rPr>
              <w:t> </w:t>
            </w:r>
            <w:r w:rsidRPr="00442C01">
              <w:rPr>
                <w:rFonts w:ascii="Times New Roman" w:eastAsia="Calibri" w:hAnsi="Times New Roman" w:cs="Times New Roman"/>
                <w:noProof/>
                <w:color w:val="000000"/>
              </w:rPr>
              <w:t> </w:t>
            </w:r>
            <w:r w:rsidRPr="00442C01">
              <w:rPr>
                <w:rFonts w:ascii="Times New Roman" w:eastAsia="Calibri" w:hAnsi="Times New Roman" w:cs="Times New Roman"/>
                <w:color w:val="000000"/>
              </w:rPr>
              <w:fldChar w:fldCharType="end"/>
            </w:r>
          </w:p>
        </w:tc>
      </w:tr>
      <w:tr w:rsidR="002477A9" w:rsidRPr="00442C01" w14:paraId="411D0007" w14:textId="77777777" w:rsidTr="00442C01">
        <w:trPr>
          <w:gridAfter w:val="1"/>
          <w:wAfter w:w="10" w:type="dxa"/>
          <w:trHeight w:val="870"/>
        </w:trPr>
        <w:tc>
          <w:tcPr>
            <w:tcW w:w="5111" w:type="dxa"/>
            <w:gridSpan w:val="12"/>
            <w:shd w:val="clear" w:color="auto" w:fill="FFFFFF"/>
          </w:tcPr>
          <w:p w14:paraId="3327A517" w14:textId="77777777" w:rsidR="002477A9" w:rsidRPr="00442C01" w:rsidRDefault="002477A9" w:rsidP="00173D72">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spacing w:val="-2"/>
              </w:rPr>
              <w:t xml:space="preserve">Wprowadzane obciążenia są przystosowane do ich elektronizacji. </w:t>
            </w:r>
          </w:p>
        </w:tc>
        <w:tc>
          <w:tcPr>
            <w:tcW w:w="5826" w:type="dxa"/>
            <w:gridSpan w:val="16"/>
            <w:shd w:val="clear" w:color="auto" w:fill="FFFFFF"/>
          </w:tcPr>
          <w:p w14:paraId="12F54404" w14:textId="77777777" w:rsidR="002477A9" w:rsidRPr="00442C01" w:rsidRDefault="002477A9" w:rsidP="00173D72">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fldChar w:fldCharType="begin">
                <w:ffData>
                  <w:name w:val="Wybór1"/>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335DC6">
              <w:rPr>
                <w:rFonts w:ascii="Times New Roman" w:eastAsia="Calibri" w:hAnsi="Times New Roman" w:cs="Times New Roman"/>
                <w:color w:val="000000"/>
              </w:rPr>
            </w:r>
            <w:r w:rsidR="00335DC6">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tak</w:t>
            </w:r>
          </w:p>
          <w:p w14:paraId="663F0D11" w14:textId="77777777" w:rsidR="002477A9" w:rsidRPr="00442C01" w:rsidRDefault="002477A9" w:rsidP="00173D72">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fldChar w:fldCharType="begin">
                <w:ffData>
                  <w:name w:val="Wybór1"/>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335DC6">
              <w:rPr>
                <w:rFonts w:ascii="Times New Roman" w:eastAsia="Calibri" w:hAnsi="Times New Roman" w:cs="Times New Roman"/>
                <w:color w:val="000000"/>
              </w:rPr>
            </w:r>
            <w:r w:rsidR="00335DC6">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nie</w:t>
            </w:r>
          </w:p>
          <w:p w14:paraId="1BE5272F" w14:textId="77777777" w:rsidR="002477A9" w:rsidRPr="00442C01" w:rsidRDefault="002477A9" w:rsidP="00173D72">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fldChar w:fldCharType="begin">
                <w:ffData>
                  <w:name w:val="Wybór1"/>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335DC6">
              <w:rPr>
                <w:rFonts w:ascii="Times New Roman" w:eastAsia="Calibri" w:hAnsi="Times New Roman" w:cs="Times New Roman"/>
                <w:color w:val="000000"/>
              </w:rPr>
            </w:r>
            <w:r w:rsidR="00335DC6">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nie dotyczy</w:t>
            </w:r>
          </w:p>
        </w:tc>
      </w:tr>
      <w:tr w:rsidR="002477A9" w:rsidRPr="00442C01" w14:paraId="09AC1CC9" w14:textId="77777777" w:rsidTr="00442C01">
        <w:trPr>
          <w:gridAfter w:val="1"/>
          <w:wAfter w:w="10" w:type="dxa"/>
          <w:trHeight w:val="320"/>
        </w:trPr>
        <w:tc>
          <w:tcPr>
            <w:tcW w:w="10937" w:type="dxa"/>
            <w:gridSpan w:val="28"/>
            <w:shd w:val="clear" w:color="auto" w:fill="FFFFFF"/>
          </w:tcPr>
          <w:p w14:paraId="1096F11A" w14:textId="77777777" w:rsidR="002477A9" w:rsidRPr="00442C01" w:rsidRDefault="002477A9" w:rsidP="00173D72">
            <w:pPr>
              <w:spacing w:after="0" w:line="240" w:lineRule="auto"/>
              <w:jc w:val="both"/>
              <w:rPr>
                <w:rFonts w:ascii="Times New Roman" w:eastAsia="Calibri" w:hAnsi="Times New Roman" w:cs="Times New Roman"/>
                <w:color w:val="000000"/>
              </w:rPr>
            </w:pPr>
            <w:r w:rsidRPr="00442C01">
              <w:rPr>
                <w:rFonts w:ascii="Times New Roman" w:eastAsia="Calibri" w:hAnsi="Times New Roman" w:cs="Times New Roman"/>
                <w:color w:val="000000"/>
              </w:rPr>
              <w:t>Komentarz: Brak.</w:t>
            </w:r>
          </w:p>
        </w:tc>
      </w:tr>
      <w:tr w:rsidR="002477A9" w:rsidRPr="00442C01" w14:paraId="5F831882" w14:textId="77777777" w:rsidTr="00442C01">
        <w:trPr>
          <w:gridAfter w:val="1"/>
          <w:wAfter w:w="10" w:type="dxa"/>
          <w:trHeight w:val="142"/>
        </w:trPr>
        <w:tc>
          <w:tcPr>
            <w:tcW w:w="10937" w:type="dxa"/>
            <w:gridSpan w:val="28"/>
            <w:shd w:val="clear" w:color="auto" w:fill="99CCFF"/>
          </w:tcPr>
          <w:p w14:paraId="2AD8F030" w14:textId="77777777" w:rsidR="002477A9" w:rsidRPr="00442C01" w:rsidRDefault="002477A9" w:rsidP="00173D72">
            <w:pPr>
              <w:numPr>
                <w:ilvl w:val="0"/>
                <w:numId w:val="1"/>
              </w:numPr>
              <w:spacing w:after="0" w:line="240" w:lineRule="auto"/>
              <w:jc w:val="both"/>
              <w:rPr>
                <w:rFonts w:ascii="Times New Roman" w:eastAsia="Calibri" w:hAnsi="Times New Roman" w:cs="Times New Roman"/>
                <w:b/>
                <w:color w:val="000000"/>
              </w:rPr>
            </w:pPr>
            <w:r w:rsidRPr="00442C01">
              <w:rPr>
                <w:rFonts w:ascii="Times New Roman" w:eastAsia="Calibri" w:hAnsi="Times New Roman" w:cs="Times New Roman"/>
                <w:b/>
                <w:color w:val="000000"/>
              </w:rPr>
              <w:t xml:space="preserve">Wpływ na rynek pracy </w:t>
            </w:r>
          </w:p>
        </w:tc>
      </w:tr>
      <w:tr w:rsidR="002477A9" w:rsidRPr="00442C01" w14:paraId="73FA9559" w14:textId="77777777" w:rsidTr="00442C01">
        <w:trPr>
          <w:gridAfter w:val="1"/>
          <w:wAfter w:w="10" w:type="dxa"/>
          <w:trHeight w:val="490"/>
        </w:trPr>
        <w:tc>
          <w:tcPr>
            <w:tcW w:w="10937" w:type="dxa"/>
            <w:gridSpan w:val="28"/>
            <w:shd w:val="clear" w:color="auto" w:fill="auto"/>
          </w:tcPr>
          <w:p w14:paraId="43502079" w14:textId="77777777" w:rsidR="002477A9" w:rsidRPr="00442C01" w:rsidRDefault="002477A9" w:rsidP="00173D72">
            <w:pPr>
              <w:spacing w:after="0" w:line="240" w:lineRule="auto"/>
              <w:jc w:val="both"/>
              <w:rPr>
                <w:rFonts w:ascii="Times New Roman" w:eastAsia="Calibri" w:hAnsi="Times New Roman" w:cs="Times New Roman"/>
              </w:rPr>
            </w:pPr>
            <w:r>
              <w:rPr>
                <w:rFonts w:ascii="Times New Roman" w:eastAsia="Calibri" w:hAnsi="Times New Roman" w:cs="Times New Roman"/>
              </w:rPr>
              <w:t>Brak bezpośredniego wpływu na rynek pracy. Personel medyczny realizujący świadczenia nabywa kompetencje w zakresie stosowania nowych metod diagnostycznych i terapeutycznych.</w:t>
            </w:r>
          </w:p>
        </w:tc>
      </w:tr>
      <w:tr w:rsidR="002477A9" w:rsidRPr="00442C01" w14:paraId="182AE974" w14:textId="77777777" w:rsidTr="00442C01">
        <w:trPr>
          <w:gridAfter w:val="1"/>
          <w:wAfter w:w="10" w:type="dxa"/>
          <w:trHeight w:val="142"/>
        </w:trPr>
        <w:tc>
          <w:tcPr>
            <w:tcW w:w="10937" w:type="dxa"/>
            <w:gridSpan w:val="28"/>
            <w:shd w:val="clear" w:color="auto" w:fill="99CCFF"/>
          </w:tcPr>
          <w:p w14:paraId="6F407DE7" w14:textId="77777777" w:rsidR="002477A9" w:rsidRPr="00442C01" w:rsidRDefault="002477A9" w:rsidP="00173D72">
            <w:pPr>
              <w:numPr>
                <w:ilvl w:val="0"/>
                <w:numId w:val="1"/>
              </w:numPr>
              <w:spacing w:after="0" w:line="240" w:lineRule="auto"/>
              <w:jc w:val="both"/>
              <w:rPr>
                <w:rFonts w:ascii="Times New Roman" w:eastAsia="Calibri" w:hAnsi="Times New Roman" w:cs="Times New Roman"/>
                <w:b/>
                <w:color w:val="000000"/>
              </w:rPr>
            </w:pPr>
            <w:r w:rsidRPr="00442C01">
              <w:rPr>
                <w:rFonts w:ascii="Times New Roman" w:eastAsia="Calibri" w:hAnsi="Times New Roman" w:cs="Times New Roman"/>
                <w:b/>
                <w:color w:val="000000"/>
              </w:rPr>
              <w:t>Wpływ na pozostałe obszary</w:t>
            </w:r>
          </w:p>
        </w:tc>
      </w:tr>
      <w:tr w:rsidR="002477A9" w:rsidRPr="00442C01" w14:paraId="453F9BE7" w14:textId="77777777" w:rsidTr="00F911B1">
        <w:trPr>
          <w:gridAfter w:val="1"/>
          <w:wAfter w:w="10" w:type="dxa"/>
          <w:trHeight w:val="908"/>
        </w:trPr>
        <w:tc>
          <w:tcPr>
            <w:tcW w:w="3547" w:type="dxa"/>
            <w:gridSpan w:val="6"/>
            <w:shd w:val="clear" w:color="auto" w:fill="FFFFFF"/>
          </w:tcPr>
          <w:p w14:paraId="414AB539" w14:textId="77777777" w:rsidR="002477A9" w:rsidRPr="00442C01" w:rsidRDefault="002477A9" w:rsidP="00173D72">
            <w:pPr>
              <w:spacing w:after="0" w:line="240" w:lineRule="auto"/>
              <w:rPr>
                <w:rFonts w:ascii="Times New Roman" w:eastAsia="Calibri" w:hAnsi="Times New Roman" w:cs="Times New Roman"/>
                <w:color w:val="000000"/>
                <w:spacing w:val="-2"/>
              </w:rPr>
            </w:pPr>
            <w:r w:rsidRPr="00442C01">
              <w:rPr>
                <w:rFonts w:ascii="Times New Roman" w:eastAsia="Calibri" w:hAnsi="Times New Roman" w:cs="Times New Roman"/>
                <w:color w:val="000000"/>
              </w:rPr>
              <w:fldChar w:fldCharType="begin">
                <w:ffData>
                  <w:name w:val="Wybór1"/>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335DC6">
              <w:rPr>
                <w:rFonts w:ascii="Times New Roman" w:eastAsia="Calibri" w:hAnsi="Times New Roman" w:cs="Times New Roman"/>
                <w:color w:val="000000"/>
              </w:rPr>
            </w:r>
            <w:r w:rsidR="00335DC6">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w:t>
            </w:r>
            <w:r w:rsidRPr="00442C01">
              <w:rPr>
                <w:rFonts w:ascii="Times New Roman" w:eastAsia="Calibri" w:hAnsi="Times New Roman" w:cs="Times New Roman"/>
                <w:color w:val="000000"/>
                <w:spacing w:val="-2"/>
              </w:rPr>
              <w:t>środowisko naturalne</w:t>
            </w:r>
          </w:p>
          <w:p w14:paraId="6A171A61" w14:textId="77777777" w:rsidR="002477A9" w:rsidRPr="00442C01" w:rsidRDefault="002477A9" w:rsidP="00173D72">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fldChar w:fldCharType="begin">
                <w:ffData>
                  <w:name w:val=""/>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335DC6">
              <w:rPr>
                <w:rFonts w:ascii="Times New Roman" w:eastAsia="Calibri" w:hAnsi="Times New Roman" w:cs="Times New Roman"/>
                <w:color w:val="000000"/>
              </w:rPr>
            </w:r>
            <w:r w:rsidR="00335DC6">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sytuacja i rozwój regionalny</w:t>
            </w:r>
          </w:p>
          <w:p w14:paraId="135BF0CE" w14:textId="77777777" w:rsidR="002477A9" w:rsidRPr="00442C01" w:rsidRDefault="002477A9" w:rsidP="00173D72">
            <w:pPr>
              <w:spacing w:after="0" w:line="240" w:lineRule="auto"/>
              <w:rPr>
                <w:rFonts w:ascii="Times New Roman" w:eastAsia="Calibri" w:hAnsi="Times New Roman" w:cs="Times New Roman"/>
                <w:color w:val="000000"/>
                <w:spacing w:val="-2"/>
              </w:rPr>
            </w:pPr>
            <w:r w:rsidRPr="00442C01">
              <w:rPr>
                <w:rFonts w:ascii="Times New Roman" w:eastAsia="Calibri" w:hAnsi="Times New Roman" w:cs="Times New Roman"/>
                <w:color w:val="000000"/>
              </w:rPr>
              <w:fldChar w:fldCharType="begin">
                <w:ffData>
                  <w:name w:val="Wybór1"/>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335DC6">
              <w:rPr>
                <w:rFonts w:ascii="Times New Roman" w:eastAsia="Calibri" w:hAnsi="Times New Roman" w:cs="Times New Roman"/>
                <w:color w:val="000000"/>
              </w:rPr>
            </w:r>
            <w:r w:rsidR="00335DC6">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w:t>
            </w:r>
            <w:r w:rsidRPr="00442C01">
              <w:rPr>
                <w:rFonts w:ascii="Times New Roman" w:eastAsia="Calibri" w:hAnsi="Times New Roman" w:cs="Times New Roman"/>
                <w:color w:val="000000"/>
                <w:spacing w:val="-2"/>
              </w:rPr>
              <w:t xml:space="preserve">inne: </w:t>
            </w:r>
            <w:r w:rsidRPr="00442C01">
              <w:rPr>
                <w:rFonts w:ascii="Times New Roman" w:eastAsia="Calibri" w:hAnsi="Times New Roman" w:cs="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442C01">
              <w:rPr>
                <w:rFonts w:ascii="Times New Roman" w:eastAsia="Calibri" w:hAnsi="Times New Roman" w:cs="Times New Roman"/>
                <w:color w:val="000000"/>
              </w:rPr>
              <w:instrText xml:space="preserve"> FORMTEXT </w:instrText>
            </w:r>
            <w:r w:rsidRPr="00442C01">
              <w:rPr>
                <w:rFonts w:ascii="Times New Roman" w:eastAsia="Calibri" w:hAnsi="Times New Roman" w:cs="Times New Roman"/>
                <w:color w:val="000000"/>
              </w:rPr>
            </w:r>
            <w:r w:rsidRPr="00442C01">
              <w:rPr>
                <w:rFonts w:ascii="Times New Roman" w:eastAsia="Calibri" w:hAnsi="Times New Roman" w:cs="Times New Roman"/>
                <w:color w:val="000000"/>
              </w:rPr>
              <w:fldChar w:fldCharType="separate"/>
            </w:r>
            <w:r w:rsidRPr="00442C01">
              <w:rPr>
                <w:rFonts w:ascii="Times New Roman" w:eastAsia="Calibri" w:hAnsi="Times New Roman" w:cs="Times New Roman"/>
                <w:noProof/>
                <w:color w:val="000000"/>
              </w:rPr>
              <w:t> </w:t>
            </w:r>
            <w:r w:rsidRPr="00442C01">
              <w:rPr>
                <w:rFonts w:ascii="Times New Roman" w:eastAsia="Calibri" w:hAnsi="Times New Roman" w:cs="Times New Roman"/>
                <w:noProof/>
                <w:color w:val="000000"/>
              </w:rPr>
              <w:t> </w:t>
            </w:r>
            <w:r w:rsidRPr="00442C01">
              <w:rPr>
                <w:rFonts w:ascii="Times New Roman" w:eastAsia="Calibri" w:hAnsi="Times New Roman" w:cs="Times New Roman"/>
                <w:noProof/>
                <w:color w:val="000000"/>
              </w:rPr>
              <w:t> </w:t>
            </w:r>
            <w:r w:rsidRPr="00442C01">
              <w:rPr>
                <w:rFonts w:ascii="Times New Roman" w:eastAsia="Calibri" w:hAnsi="Times New Roman" w:cs="Times New Roman"/>
                <w:noProof/>
                <w:color w:val="000000"/>
              </w:rPr>
              <w:t> </w:t>
            </w:r>
            <w:r w:rsidRPr="00442C01">
              <w:rPr>
                <w:rFonts w:ascii="Times New Roman" w:eastAsia="Calibri" w:hAnsi="Times New Roman" w:cs="Times New Roman"/>
                <w:noProof/>
                <w:color w:val="000000"/>
              </w:rPr>
              <w:t> </w:t>
            </w:r>
            <w:r w:rsidRPr="00442C01">
              <w:rPr>
                <w:rFonts w:ascii="Times New Roman" w:eastAsia="Calibri" w:hAnsi="Times New Roman" w:cs="Times New Roman"/>
                <w:color w:val="000000"/>
              </w:rPr>
              <w:fldChar w:fldCharType="end"/>
            </w:r>
          </w:p>
        </w:tc>
        <w:tc>
          <w:tcPr>
            <w:tcW w:w="3687" w:type="dxa"/>
            <w:gridSpan w:val="13"/>
            <w:shd w:val="clear" w:color="auto" w:fill="FFFFFF"/>
          </w:tcPr>
          <w:p w14:paraId="4931C216" w14:textId="77777777" w:rsidR="002477A9" w:rsidRPr="00442C01" w:rsidRDefault="002477A9" w:rsidP="00173D72">
            <w:pPr>
              <w:spacing w:after="0" w:line="240" w:lineRule="auto"/>
              <w:rPr>
                <w:rFonts w:ascii="Times New Roman" w:eastAsia="Calibri" w:hAnsi="Times New Roman" w:cs="Times New Roman"/>
                <w:color w:val="000000"/>
                <w:spacing w:val="-2"/>
              </w:rPr>
            </w:pPr>
            <w:r w:rsidRPr="00442C01">
              <w:rPr>
                <w:rFonts w:ascii="Times New Roman" w:eastAsia="Calibri" w:hAnsi="Times New Roman" w:cs="Times New Roman"/>
                <w:color w:val="000000"/>
              </w:rPr>
              <w:fldChar w:fldCharType="begin">
                <w:ffData>
                  <w:name w:val="Wybór1"/>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335DC6">
              <w:rPr>
                <w:rFonts w:ascii="Times New Roman" w:eastAsia="Calibri" w:hAnsi="Times New Roman" w:cs="Times New Roman"/>
                <w:color w:val="000000"/>
              </w:rPr>
            </w:r>
            <w:r w:rsidR="00335DC6">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w:t>
            </w:r>
            <w:r w:rsidRPr="00442C01">
              <w:rPr>
                <w:rFonts w:ascii="Times New Roman" w:eastAsia="Calibri" w:hAnsi="Times New Roman" w:cs="Times New Roman"/>
                <w:color w:val="000000"/>
                <w:spacing w:val="-2"/>
              </w:rPr>
              <w:t>demografia</w:t>
            </w:r>
          </w:p>
          <w:p w14:paraId="14EFA920" w14:textId="77777777" w:rsidR="002477A9" w:rsidRPr="00442C01" w:rsidRDefault="002477A9" w:rsidP="00173D72">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fldChar w:fldCharType="begin">
                <w:ffData>
                  <w:name w:val=""/>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335DC6">
              <w:rPr>
                <w:rFonts w:ascii="Times New Roman" w:eastAsia="Calibri" w:hAnsi="Times New Roman" w:cs="Times New Roman"/>
                <w:color w:val="000000"/>
              </w:rPr>
            </w:r>
            <w:r w:rsidR="00335DC6">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mienie państwowe</w:t>
            </w:r>
          </w:p>
        </w:tc>
        <w:tc>
          <w:tcPr>
            <w:tcW w:w="3703" w:type="dxa"/>
            <w:gridSpan w:val="9"/>
            <w:shd w:val="clear" w:color="auto" w:fill="FFFFFF"/>
          </w:tcPr>
          <w:p w14:paraId="4937F004" w14:textId="77777777" w:rsidR="002477A9" w:rsidRPr="00442C01" w:rsidRDefault="002477A9" w:rsidP="00173D72">
            <w:pPr>
              <w:spacing w:after="0" w:line="240" w:lineRule="auto"/>
              <w:rPr>
                <w:rFonts w:ascii="Times New Roman" w:eastAsia="Calibri" w:hAnsi="Times New Roman" w:cs="Times New Roman"/>
                <w:color w:val="000000"/>
                <w:spacing w:val="-2"/>
              </w:rPr>
            </w:pPr>
            <w:r w:rsidRPr="00442C01">
              <w:rPr>
                <w:rFonts w:ascii="Times New Roman" w:eastAsia="Calibri" w:hAnsi="Times New Roman" w:cs="Times New Roman"/>
                <w:color w:val="000000"/>
              </w:rPr>
              <w:fldChar w:fldCharType="begin">
                <w:ffData>
                  <w:name w:val="Wybór1"/>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335DC6">
              <w:rPr>
                <w:rFonts w:ascii="Times New Roman" w:eastAsia="Calibri" w:hAnsi="Times New Roman" w:cs="Times New Roman"/>
                <w:color w:val="000000"/>
              </w:rPr>
            </w:r>
            <w:r w:rsidR="00335DC6">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w:t>
            </w:r>
            <w:r w:rsidRPr="00442C01">
              <w:rPr>
                <w:rFonts w:ascii="Times New Roman" w:eastAsia="Calibri" w:hAnsi="Times New Roman" w:cs="Times New Roman"/>
                <w:color w:val="000000"/>
                <w:spacing w:val="-2"/>
              </w:rPr>
              <w:t>informatyzacja</w:t>
            </w:r>
          </w:p>
          <w:p w14:paraId="01FF968F" w14:textId="77777777" w:rsidR="002477A9" w:rsidRPr="00442C01" w:rsidRDefault="002477A9" w:rsidP="00173D72">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t xml:space="preserve">X  </w:t>
            </w:r>
            <w:r w:rsidRPr="00442C01">
              <w:rPr>
                <w:rFonts w:ascii="Times New Roman" w:eastAsia="Calibri" w:hAnsi="Times New Roman" w:cs="Times New Roman"/>
                <w:color w:val="000000"/>
                <w:spacing w:val="-2"/>
              </w:rPr>
              <w:t>zdrowie</w:t>
            </w:r>
          </w:p>
        </w:tc>
      </w:tr>
      <w:tr w:rsidR="002477A9" w:rsidRPr="00442C01" w14:paraId="503F3F7F" w14:textId="77777777" w:rsidTr="00C761E8">
        <w:trPr>
          <w:gridAfter w:val="1"/>
          <w:wAfter w:w="10" w:type="dxa"/>
          <w:trHeight w:val="712"/>
        </w:trPr>
        <w:tc>
          <w:tcPr>
            <w:tcW w:w="1589" w:type="dxa"/>
            <w:shd w:val="clear" w:color="auto" w:fill="FFFFFF"/>
            <w:vAlign w:val="center"/>
          </w:tcPr>
          <w:p w14:paraId="344CD05A" w14:textId="77777777" w:rsidR="002477A9" w:rsidRPr="00442C01" w:rsidRDefault="002477A9" w:rsidP="00173D72">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t>Omówienie wpływu</w:t>
            </w:r>
          </w:p>
        </w:tc>
        <w:tc>
          <w:tcPr>
            <w:tcW w:w="9348" w:type="dxa"/>
            <w:gridSpan w:val="27"/>
            <w:shd w:val="clear" w:color="auto" w:fill="FFFFFF"/>
            <w:vAlign w:val="center"/>
          </w:tcPr>
          <w:p w14:paraId="01E1D89A" w14:textId="77777777" w:rsidR="002477A9" w:rsidRPr="00442C01" w:rsidRDefault="002477A9" w:rsidP="00173D72">
            <w:pPr>
              <w:spacing w:after="0" w:line="240" w:lineRule="auto"/>
              <w:ind w:right="272"/>
              <w:jc w:val="both"/>
              <w:outlineLvl w:val="0"/>
              <w:rPr>
                <w:rFonts w:ascii="Times New Roman" w:eastAsia="Calibri" w:hAnsi="Times New Roman" w:cs="Times New Roman"/>
              </w:rPr>
            </w:pPr>
            <w:r w:rsidRPr="00A64621">
              <w:rPr>
                <w:rFonts w:ascii="Times New Roman" w:eastAsia="Calibri" w:hAnsi="Times New Roman" w:cs="Times New Roman"/>
              </w:rPr>
              <w:t>Projektowane rozporządzenie wprowadza rozwiązania, które wpły</w:t>
            </w:r>
            <w:r>
              <w:rPr>
                <w:rFonts w:ascii="Times New Roman" w:eastAsia="Calibri" w:hAnsi="Times New Roman" w:cs="Times New Roman"/>
              </w:rPr>
              <w:t xml:space="preserve">ną pozytywnie na zdrowie dzieci, </w:t>
            </w:r>
            <w:r w:rsidRPr="00A64621">
              <w:rPr>
                <w:rFonts w:ascii="Times New Roman" w:eastAsia="Calibri" w:hAnsi="Times New Roman" w:cs="Times New Roman"/>
              </w:rPr>
              <w:t>młodzieży</w:t>
            </w:r>
            <w:r>
              <w:rPr>
                <w:rFonts w:ascii="Times New Roman" w:eastAsia="Calibri" w:hAnsi="Times New Roman" w:cs="Times New Roman"/>
              </w:rPr>
              <w:t xml:space="preserve"> i osób dorosłych</w:t>
            </w:r>
            <w:r w:rsidRPr="00A64621">
              <w:rPr>
                <w:rFonts w:ascii="Times New Roman" w:eastAsia="Calibri" w:hAnsi="Times New Roman" w:cs="Times New Roman"/>
              </w:rPr>
              <w:t xml:space="preserve"> przy jednoczesnym zapewnieniu bezpieczeństwa pacjenta oraz zachowaniu odpowiedniej jakości świadczeń.</w:t>
            </w:r>
          </w:p>
        </w:tc>
      </w:tr>
      <w:tr w:rsidR="002477A9" w:rsidRPr="00442C01" w14:paraId="652A9590" w14:textId="77777777" w:rsidTr="00442C01">
        <w:trPr>
          <w:gridAfter w:val="1"/>
          <w:wAfter w:w="10" w:type="dxa"/>
          <w:trHeight w:val="142"/>
        </w:trPr>
        <w:tc>
          <w:tcPr>
            <w:tcW w:w="10937" w:type="dxa"/>
            <w:gridSpan w:val="28"/>
            <w:shd w:val="clear" w:color="auto" w:fill="99CCFF"/>
          </w:tcPr>
          <w:p w14:paraId="2573C3C8" w14:textId="77777777" w:rsidR="002477A9" w:rsidRPr="00442C01" w:rsidRDefault="002477A9" w:rsidP="00173D72">
            <w:pPr>
              <w:numPr>
                <w:ilvl w:val="0"/>
                <w:numId w:val="1"/>
              </w:numPr>
              <w:spacing w:after="0" w:line="240" w:lineRule="auto"/>
              <w:ind w:left="318" w:hanging="284"/>
              <w:jc w:val="both"/>
              <w:rPr>
                <w:rFonts w:ascii="Times New Roman" w:eastAsia="Calibri" w:hAnsi="Times New Roman" w:cs="Times New Roman"/>
                <w:b/>
              </w:rPr>
            </w:pPr>
            <w:r w:rsidRPr="00442C01">
              <w:rPr>
                <w:rFonts w:ascii="Times New Roman" w:eastAsia="Calibri" w:hAnsi="Times New Roman" w:cs="Times New Roman"/>
                <w:b/>
                <w:spacing w:val="-2"/>
              </w:rPr>
              <w:t>Planowane wykonanie przepisów aktu prawnego</w:t>
            </w:r>
          </w:p>
        </w:tc>
      </w:tr>
      <w:tr w:rsidR="002477A9" w:rsidRPr="00442C01" w14:paraId="1F0D5DAD" w14:textId="77777777" w:rsidTr="00442C01">
        <w:trPr>
          <w:gridAfter w:val="1"/>
          <w:wAfter w:w="10" w:type="dxa"/>
          <w:trHeight w:val="588"/>
        </w:trPr>
        <w:tc>
          <w:tcPr>
            <w:tcW w:w="10937" w:type="dxa"/>
            <w:gridSpan w:val="28"/>
            <w:shd w:val="clear" w:color="auto" w:fill="FFFFFF"/>
          </w:tcPr>
          <w:p w14:paraId="2DB8A136" w14:textId="77777777" w:rsidR="002477A9" w:rsidRPr="00442C01" w:rsidRDefault="002477A9" w:rsidP="00173D72">
            <w:pPr>
              <w:suppressAutoHyphens/>
              <w:autoSpaceDE w:val="0"/>
              <w:autoSpaceDN w:val="0"/>
              <w:adjustRightInd w:val="0"/>
              <w:spacing w:after="0" w:line="240" w:lineRule="auto"/>
              <w:jc w:val="both"/>
              <w:rPr>
                <w:rFonts w:ascii="Times New Roman" w:eastAsia="Times New Roman" w:hAnsi="Times New Roman" w:cs="Times New Roman"/>
                <w:lang w:eastAsia="pl-PL"/>
              </w:rPr>
            </w:pPr>
            <w:r w:rsidRPr="00442C01">
              <w:rPr>
                <w:rFonts w:ascii="Times New Roman" w:eastAsia="Times New Roman" w:hAnsi="Times New Roman" w:cs="Times New Roman"/>
                <w:color w:val="000000"/>
                <w:lang w:eastAsia="pl-PL"/>
              </w:rPr>
              <w:t xml:space="preserve">Przewidziany w projekcie termin wejścia w życie rozporządzenia to dzień 1 </w:t>
            </w:r>
            <w:r>
              <w:rPr>
                <w:rFonts w:ascii="Times New Roman" w:eastAsia="Times New Roman" w:hAnsi="Times New Roman" w:cs="Times New Roman"/>
                <w:color w:val="000000"/>
                <w:lang w:eastAsia="pl-PL"/>
              </w:rPr>
              <w:t xml:space="preserve">marca </w:t>
            </w:r>
            <w:r w:rsidRPr="00442C01">
              <w:rPr>
                <w:rFonts w:ascii="Times New Roman" w:eastAsia="Times New Roman" w:hAnsi="Times New Roman" w:cs="Times New Roman"/>
                <w:color w:val="000000"/>
                <w:lang w:eastAsia="pl-PL"/>
              </w:rPr>
              <w:t>201</w:t>
            </w:r>
            <w:r>
              <w:rPr>
                <w:rFonts w:ascii="Times New Roman" w:eastAsia="Times New Roman" w:hAnsi="Times New Roman" w:cs="Times New Roman"/>
                <w:color w:val="000000"/>
                <w:lang w:eastAsia="pl-PL"/>
              </w:rPr>
              <w:t>8</w:t>
            </w:r>
            <w:r w:rsidRPr="00442C01">
              <w:rPr>
                <w:rFonts w:ascii="Times New Roman" w:eastAsia="Times New Roman" w:hAnsi="Times New Roman" w:cs="Times New Roman"/>
                <w:color w:val="000000"/>
                <w:lang w:eastAsia="pl-PL"/>
              </w:rPr>
              <w:t xml:space="preserve"> r.</w:t>
            </w:r>
          </w:p>
        </w:tc>
      </w:tr>
      <w:tr w:rsidR="002477A9" w:rsidRPr="00442C01" w14:paraId="569B003A" w14:textId="77777777" w:rsidTr="00442C01">
        <w:trPr>
          <w:gridAfter w:val="1"/>
          <w:wAfter w:w="10" w:type="dxa"/>
          <w:trHeight w:val="142"/>
        </w:trPr>
        <w:tc>
          <w:tcPr>
            <w:tcW w:w="10937" w:type="dxa"/>
            <w:gridSpan w:val="28"/>
            <w:shd w:val="clear" w:color="auto" w:fill="99CCFF"/>
          </w:tcPr>
          <w:p w14:paraId="5ECF6D25" w14:textId="77777777" w:rsidR="002477A9" w:rsidRPr="00442C01" w:rsidRDefault="002477A9" w:rsidP="00173D72">
            <w:pPr>
              <w:numPr>
                <w:ilvl w:val="0"/>
                <w:numId w:val="1"/>
              </w:numPr>
              <w:spacing w:after="0" w:line="240" w:lineRule="auto"/>
              <w:ind w:left="318" w:hanging="284"/>
              <w:jc w:val="both"/>
              <w:rPr>
                <w:rFonts w:ascii="Times New Roman" w:eastAsia="Calibri" w:hAnsi="Times New Roman" w:cs="Times New Roman"/>
                <w:b/>
                <w:color w:val="000000"/>
              </w:rPr>
            </w:pPr>
            <w:r w:rsidRPr="00442C01">
              <w:rPr>
                <w:rFonts w:ascii="Times New Roman" w:eastAsia="Calibri" w:hAnsi="Times New Roman" w:cs="Times New Roman"/>
                <w:b/>
                <w:color w:val="000000"/>
              </w:rPr>
              <w:t xml:space="preserve"> </w:t>
            </w:r>
            <w:r w:rsidRPr="00442C01">
              <w:rPr>
                <w:rFonts w:ascii="Times New Roman" w:eastAsia="Calibri" w:hAnsi="Times New Roman" w:cs="Times New Roman"/>
                <w:b/>
                <w:spacing w:val="-2"/>
              </w:rPr>
              <w:t>W jaki sposób i kiedy nastąpi ewaluacja efektów projektu oraz jakie mierniki zostaną zastosowane?</w:t>
            </w:r>
          </w:p>
        </w:tc>
      </w:tr>
      <w:tr w:rsidR="002477A9" w:rsidRPr="00442C01" w14:paraId="148AC9FD" w14:textId="77777777" w:rsidTr="00442C01">
        <w:trPr>
          <w:gridAfter w:val="1"/>
          <w:wAfter w:w="10" w:type="dxa"/>
          <w:trHeight w:val="846"/>
        </w:trPr>
        <w:tc>
          <w:tcPr>
            <w:tcW w:w="10937" w:type="dxa"/>
            <w:gridSpan w:val="28"/>
            <w:shd w:val="clear" w:color="auto" w:fill="FFFFFF"/>
          </w:tcPr>
          <w:p w14:paraId="13649E78" w14:textId="77777777" w:rsidR="002477A9" w:rsidRDefault="002477A9" w:rsidP="00173D72">
            <w:pPr>
              <w:spacing w:after="0" w:line="240" w:lineRule="auto"/>
              <w:jc w:val="both"/>
              <w:rPr>
                <w:rFonts w:ascii="Times New Roman" w:hAnsi="Times New Roman"/>
                <w:color w:val="000000"/>
                <w:spacing w:val="-2"/>
              </w:rPr>
            </w:pPr>
            <w:r w:rsidRPr="001E0F35">
              <w:rPr>
                <w:rFonts w:ascii="Times New Roman" w:hAnsi="Times New Roman"/>
                <w:color w:val="000000"/>
                <w:spacing w:val="-2"/>
              </w:rPr>
              <w:t xml:space="preserve">Dokonanie ewaluacji </w:t>
            </w:r>
            <w:r>
              <w:rPr>
                <w:rFonts w:ascii="Times New Roman" w:hAnsi="Times New Roman"/>
                <w:color w:val="000000"/>
                <w:spacing w:val="-2"/>
              </w:rPr>
              <w:t>świadczenia</w:t>
            </w:r>
            <w:r w:rsidRPr="001E0F35">
              <w:rPr>
                <w:rFonts w:ascii="Times New Roman" w:hAnsi="Times New Roman"/>
                <w:color w:val="000000"/>
                <w:spacing w:val="-2"/>
              </w:rPr>
              <w:t xml:space="preserve"> </w:t>
            </w:r>
            <w:r>
              <w:rPr>
                <w:rFonts w:ascii="Times New Roman" w:hAnsi="Times New Roman"/>
                <w:color w:val="000000"/>
                <w:spacing w:val="-2"/>
              </w:rPr>
              <w:t>możliwe będzie najszybciej za 2-</w:t>
            </w:r>
            <w:r w:rsidRPr="001E0F35">
              <w:rPr>
                <w:rFonts w:ascii="Times New Roman" w:hAnsi="Times New Roman"/>
                <w:color w:val="000000"/>
                <w:spacing w:val="-2"/>
              </w:rPr>
              <w:t xml:space="preserve">3 lata, kiedy </w:t>
            </w:r>
            <w:r>
              <w:rPr>
                <w:rFonts w:ascii="Times New Roman" w:hAnsi="Times New Roman"/>
                <w:color w:val="000000"/>
                <w:spacing w:val="-2"/>
              </w:rPr>
              <w:t>możliwe będzie zbadanie korzyści wynikających z kwalifikacji przedmiotowych świadczeń</w:t>
            </w:r>
            <w:r w:rsidRPr="001E0F35">
              <w:rPr>
                <w:rFonts w:ascii="Times New Roman" w:hAnsi="Times New Roman"/>
                <w:color w:val="000000"/>
                <w:spacing w:val="-2"/>
              </w:rPr>
              <w:t xml:space="preserve"> </w:t>
            </w:r>
            <w:r>
              <w:rPr>
                <w:rFonts w:ascii="Times New Roman" w:hAnsi="Times New Roman"/>
                <w:color w:val="000000"/>
                <w:spacing w:val="-2"/>
              </w:rPr>
              <w:t>gwarantowanych. Ewaluacja zostanie przeprowadzona w oparciu o dane sprawozdawczo-rozliczeniowe NFZ za okres 2-3 lat po wprowadzeniu przedmiotowych zmian w porównaniu do realizacji świadczeń stomatologicznych w populacji docelowej w okresie 2-3 lat przed wprowadzeniem zmian.</w:t>
            </w:r>
          </w:p>
          <w:p w14:paraId="16201C91" w14:textId="77777777" w:rsidR="002477A9" w:rsidRPr="00B26145" w:rsidRDefault="002477A9" w:rsidP="00173D72">
            <w:pPr>
              <w:spacing w:after="0" w:line="240" w:lineRule="auto"/>
              <w:jc w:val="both"/>
              <w:rPr>
                <w:rFonts w:ascii="Times New Roman" w:hAnsi="Times New Roman"/>
                <w:color w:val="000000"/>
                <w:spacing w:val="-2"/>
              </w:rPr>
            </w:pPr>
            <w:r>
              <w:rPr>
                <w:rFonts w:ascii="Times New Roman" w:hAnsi="Times New Roman"/>
                <w:color w:val="000000"/>
                <w:spacing w:val="-2"/>
              </w:rPr>
              <w:t>Zaproponowano mierniki adekwatne do efektów zdefiniowanych w pkt 2 OSR, tj.:</w:t>
            </w:r>
          </w:p>
          <w:p w14:paraId="68F49847" w14:textId="77777777" w:rsidR="002477A9" w:rsidRDefault="002477A9" w:rsidP="00173D72">
            <w:pPr>
              <w:spacing w:after="0"/>
              <w:jc w:val="both"/>
              <w:rPr>
                <w:rFonts w:ascii="Times New Roman" w:eastAsia="Calibri" w:hAnsi="Times New Roman" w:cs="Times New Roman"/>
                <w:color w:val="000000"/>
                <w:spacing w:val="-2"/>
              </w:rPr>
            </w:pPr>
            <w:r>
              <w:rPr>
                <w:rFonts w:ascii="Times New Roman" w:eastAsia="Calibri" w:hAnsi="Times New Roman" w:cs="Times New Roman"/>
                <w:color w:val="000000"/>
                <w:spacing w:val="-2"/>
              </w:rPr>
              <w:t>- odsetek pacjentów diagnozowanych w kierunku choroby Parkinsona, u których po badaniu potwierdzono diagnozę;</w:t>
            </w:r>
          </w:p>
          <w:p w14:paraId="0A82BF14" w14:textId="77777777" w:rsidR="002477A9" w:rsidRDefault="002477A9" w:rsidP="00173D72">
            <w:pPr>
              <w:spacing w:after="0"/>
              <w:jc w:val="both"/>
              <w:rPr>
                <w:rFonts w:ascii="Times New Roman" w:eastAsia="Calibri" w:hAnsi="Times New Roman" w:cs="Times New Roman"/>
                <w:color w:val="000000"/>
                <w:spacing w:val="-2"/>
              </w:rPr>
            </w:pPr>
            <w:r>
              <w:rPr>
                <w:rFonts w:ascii="Times New Roman" w:eastAsia="Calibri" w:hAnsi="Times New Roman" w:cs="Times New Roman"/>
                <w:color w:val="000000"/>
                <w:spacing w:val="-2"/>
              </w:rPr>
              <w:t>- odsetek pacjentów diagnozowanych w kierunku choroby Parkinsona, u których po badaniu wykluczono diagnozę;</w:t>
            </w:r>
          </w:p>
          <w:p w14:paraId="54E9093A" w14:textId="77777777" w:rsidR="002477A9" w:rsidRDefault="002477A9" w:rsidP="00173D72">
            <w:pPr>
              <w:spacing w:after="0"/>
              <w:jc w:val="both"/>
              <w:rPr>
                <w:rFonts w:ascii="Times New Roman" w:eastAsia="Calibri" w:hAnsi="Times New Roman" w:cs="Times New Roman"/>
                <w:color w:val="000000"/>
                <w:spacing w:val="-2"/>
              </w:rPr>
            </w:pPr>
            <w:r>
              <w:rPr>
                <w:rFonts w:ascii="Times New Roman" w:eastAsia="Calibri" w:hAnsi="Times New Roman" w:cs="Times New Roman"/>
                <w:color w:val="000000"/>
                <w:spacing w:val="-2"/>
              </w:rPr>
              <w:t xml:space="preserve">- koszty leczenia cukrzycy przed i po badaniu w kierunku cukrzycy </w:t>
            </w:r>
            <w:proofErr w:type="spellStart"/>
            <w:r>
              <w:rPr>
                <w:rFonts w:ascii="Times New Roman" w:eastAsia="Calibri" w:hAnsi="Times New Roman" w:cs="Times New Roman"/>
                <w:color w:val="000000"/>
                <w:spacing w:val="-2"/>
              </w:rPr>
              <w:t>monogenowej</w:t>
            </w:r>
            <w:proofErr w:type="spellEnd"/>
            <w:r>
              <w:rPr>
                <w:rFonts w:ascii="Times New Roman" w:eastAsia="Calibri" w:hAnsi="Times New Roman" w:cs="Times New Roman"/>
                <w:color w:val="000000"/>
                <w:spacing w:val="-2"/>
              </w:rPr>
              <w:t>;</w:t>
            </w:r>
          </w:p>
          <w:p w14:paraId="0B13E14C" w14:textId="77777777" w:rsidR="002477A9" w:rsidRDefault="002477A9" w:rsidP="00173D72">
            <w:pPr>
              <w:spacing w:after="0"/>
              <w:jc w:val="both"/>
              <w:rPr>
                <w:rFonts w:ascii="Times New Roman" w:eastAsia="Calibri" w:hAnsi="Times New Roman" w:cs="Times New Roman"/>
                <w:color w:val="000000"/>
                <w:spacing w:val="-2"/>
              </w:rPr>
            </w:pPr>
            <w:r>
              <w:rPr>
                <w:rFonts w:ascii="Times New Roman" w:eastAsia="Calibri" w:hAnsi="Times New Roman" w:cs="Times New Roman"/>
                <w:color w:val="000000"/>
                <w:spacing w:val="-2"/>
              </w:rPr>
              <w:t xml:space="preserve">- odsetek pacjentów diagnozowanych w kierunku cukrzycy </w:t>
            </w:r>
            <w:proofErr w:type="spellStart"/>
            <w:r>
              <w:rPr>
                <w:rFonts w:ascii="Times New Roman" w:eastAsia="Calibri" w:hAnsi="Times New Roman" w:cs="Times New Roman"/>
                <w:color w:val="000000"/>
                <w:spacing w:val="-2"/>
              </w:rPr>
              <w:t>monogenowej</w:t>
            </w:r>
            <w:proofErr w:type="spellEnd"/>
            <w:r>
              <w:rPr>
                <w:rFonts w:ascii="Times New Roman" w:eastAsia="Calibri" w:hAnsi="Times New Roman" w:cs="Times New Roman"/>
                <w:color w:val="000000"/>
                <w:spacing w:val="-2"/>
              </w:rPr>
              <w:t>, u których po badaniu potwierdzono diagnozę;</w:t>
            </w:r>
          </w:p>
          <w:p w14:paraId="14B6D151" w14:textId="77777777" w:rsidR="002477A9" w:rsidRDefault="002477A9" w:rsidP="00173D72">
            <w:pPr>
              <w:spacing w:after="0"/>
              <w:jc w:val="both"/>
              <w:rPr>
                <w:rFonts w:ascii="Times New Roman" w:eastAsia="Calibri" w:hAnsi="Times New Roman" w:cs="Times New Roman"/>
                <w:color w:val="000000"/>
                <w:spacing w:val="-2"/>
              </w:rPr>
            </w:pPr>
            <w:r>
              <w:rPr>
                <w:rFonts w:ascii="Times New Roman" w:eastAsia="Calibri" w:hAnsi="Times New Roman" w:cs="Times New Roman"/>
                <w:color w:val="000000"/>
                <w:spacing w:val="-2"/>
              </w:rPr>
              <w:t xml:space="preserve">- odsetek pacjentów diagnozowanych w kierunku cukrzycy </w:t>
            </w:r>
            <w:proofErr w:type="spellStart"/>
            <w:r>
              <w:rPr>
                <w:rFonts w:ascii="Times New Roman" w:eastAsia="Calibri" w:hAnsi="Times New Roman" w:cs="Times New Roman"/>
                <w:color w:val="000000"/>
                <w:spacing w:val="-2"/>
              </w:rPr>
              <w:t>monogenowej</w:t>
            </w:r>
            <w:proofErr w:type="spellEnd"/>
            <w:r>
              <w:rPr>
                <w:rFonts w:ascii="Times New Roman" w:eastAsia="Calibri" w:hAnsi="Times New Roman" w:cs="Times New Roman"/>
                <w:color w:val="000000"/>
                <w:spacing w:val="-2"/>
              </w:rPr>
              <w:t>, u których po badaniu wykluczono diagnozę;</w:t>
            </w:r>
          </w:p>
          <w:p w14:paraId="4488C673" w14:textId="77777777" w:rsidR="002477A9" w:rsidRDefault="002477A9" w:rsidP="00173D72">
            <w:pPr>
              <w:spacing w:after="0"/>
              <w:jc w:val="both"/>
              <w:rPr>
                <w:rFonts w:ascii="Times New Roman" w:eastAsia="Calibri" w:hAnsi="Times New Roman" w:cs="Times New Roman"/>
                <w:color w:val="000000"/>
                <w:spacing w:val="-2"/>
              </w:rPr>
            </w:pPr>
            <w:r>
              <w:rPr>
                <w:rFonts w:ascii="Times New Roman" w:eastAsia="Calibri" w:hAnsi="Times New Roman" w:cs="Times New Roman"/>
                <w:color w:val="000000"/>
                <w:spacing w:val="-2"/>
              </w:rPr>
              <w:t>- wskaźnik hospitalizacji lub z powodu hipoglikemii u pacjentów z cukrzycą przed i po wprowadzeniu systemu monitorowania glikemii</w:t>
            </w:r>
            <w:r w:rsidR="00C85990">
              <w:rPr>
                <w:rFonts w:ascii="Times New Roman" w:eastAsia="Calibri" w:hAnsi="Times New Roman" w:cs="Times New Roman"/>
                <w:color w:val="000000"/>
                <w:spacing w:val="-2"/>
              </w:rPr>
              <w:t>;</w:t>
            </w:r>
          </w:p>
          <w:p w14:paraId="4E320231" w14:textId="77777777" w:rsidR="002477A9" w:rsidRDefault="002477A9" w:rsidP="00173D72">
            <w:pPr>
              <w:spacing w:after="0"/>
              <w:jc w:val="both"/>
              <w:rPr>
                <w:rFonts w:ascii="Times New Roman" w:eastAsia="Calibri" w:hAnsi="Times New Roman" w:cs="Times New Roman"/>
                <w:color w:val="000000"/>
                <w:spacing w:val="-2"/>
              </w:rPr>
            </w:pPr>
            <w:r>
              <w:rPr>
                <w:rFonts w:ascii="Times New Roman" w:eastAsia="Calibri" w:hAnsi="Times New Roman" w:cs="Times New Roman"/>
                <w:color w:val="000000"/>
                <w:spacing w:val="-2"/>
              </w:rPr>
              <w:t>- czas przeżycia pacjentów z guzami neuroendokrynnymi leczonych radioizotopowo</w:t>
            </w:r>
            <w:r w:rsidR="00C85990">
              <w:rPr>
                <w:rFonts w:ascii="Times New Roman" w:eastAsia="Calibri" w:hAnsi="Times New Roman" w:cs="Times New Roman"/>
                <w:color w:val="000000"/>
                <w:spacing w:val="-2"/>
              </w:rPr>
              <w:t>;</w:t>
            </w:r>
          </w:p>
          <w:p w14:paraId="6F8AF886" w14:textId="77777777" w:rsidR="002477A9" w:rsidRDefault="002477A9" w:rsidP="00173D72">
            <w:pPr>
              <w:spacing w:after="0"/>
              <w:jc w:val="both"/>
              <w:rPr>
                <w:rFonts w:ascii="Times New Roman" w:eastAsia="Calibri" w:hAnsi="Times New Roman" w:cs="Times New Roman"/>
                <w:color w:val="000000"/>
                <w:spacing w:val="-2"/>
              </w:rPr>
            </w:pPr>
            <w:r>
              <w:rPr>
                <w:rFonts w:ascii="Times New Roman" w:eastAsia="Calibri" w:hAnsi="Times New Roman" w:cs="Times New Roman"/>
                <w:color w:val="000000"/>
                <w:spacing w:val="-2"/>
              </w:rPr>
              <w:t xml:space="preserve">- czas przeżycia pacjentów z niewydolnością nerek poddawanych </w:t>
            </w:r>
            <w:proofErr w:type="spellStart"/>
            <w:r>
              <w:rPr>
                <w:rFonts w:ascii="Times New Roman" w:eastAsia="Calibri" w:hAnsi="Times New Roman" w:cs="Times New Roman"/>
                <w:color w:val="000000"/>
                <w:spacing w:val="-2"/>
              </w:rPr>
              <w:t>hemodiafiltracji</w:t>
            </w:r>
            <w:proofErr w:type="spellEnd"/>
            <w:r>
              <w:rPr>
                <w:rFonts w:ascii="Times New Roman" w:eastAsia="Calibri" w:hAnsi="Times New Roman" w:cs="Times New Roman"/>
                <w:color w:val="000000"/>
                <w:spacing w:val="-2"/>
              </w:rPr>
              <w:t xml:space="preserve"> względem czas przeżycia pacjentów (o porównywalnej charakterystyce wyjściowej) z niewydolnością nerek poddawanych hemodializie.</w:t>
            </w:r>
          </w:p>
          <w:p w14:paraId="416D2E02" w14:textId="77777777" w:rsidR="00807AC2" w:rsidRPr="00CD27AF" w:rsidRDefault="00807AC2" w:rsidP="00173D72">
            <w:pPr>
              <w:spacing w:after="0"/>
              <w:jc w:val="both"/>
              <w:rPr>
                <w:rFonts w:ascii="Times New Roman" w:eastAsia="Calibri" w:hAnsi="Times New Roman" w:cs="Times New Roman"/>
                <w:color w:val="000000"/>
                <w:spacing w:val="-2"/>
              </w:rPr>
            </w:pPr>
            <w:r>
              <w:rPr>
                <w:rFonts w:ascii="Times New Roman" w:eastAsia="Calibri" w:hAnsi="Times New Roman" w:cs="Times New Roman"/>
                <w:color w:val="000000"/>
                <w:spacing w:val="-2"/>
              </w:rPr>
              <w:t>Ewaluacji zostaną również poddane wydatki Narodowego Funduszu Zdrowia na realizację nowo wprowadzanych świadczeń gwarantowanych względem prognoz wydatków szacowanych dla pierwszych 2-3 lat finansowania tych metod ze środków publicznych.</w:t>
            </w:r>
          </w:p>
        </w:tc>
      </w:tr>
      <w:tr w:rsidR="002477A9" w:rsidRPr="00442C01" w14:paraId="0CAB32D7" w14:textId="77777777" w:rsidTr="00442C01">
        <w:trPr>
          <w:gridAfter w:val="1"/>
          <w:wAfter w:w="10" w:type="dxa"/>
          <w:trHeight w:val="142"/>
        </w:trPr>
        <w:tc>
          <w:tcPr>
            <w:tcW w:w="10937" w:type="dxa"/>
            <w:gridSpan w:val="28"/>
            <w:shd w:val="clear" w:color="auto" w:fill="99CCFF"/>
          </w:tcPr>
          <w:p w14:paraId="2B73986C" w14:textId="77777777" w:rsidR="002477A9" w:rsidRPr="00442C01" w:rsidRDefault="002477A9" w:rsidP="00173D72">
            <w:pPr>
              <w:numPr>
                <w:ilvl w:val="0"/>
                <w:numId w:val="1"/>
              </w:numPr>
              <w:spacing w:after="0" w:line="240" w:lineRule="auto"/>
              <w:ind w:left="318" w:hanging="284"/>
              <w:jc w:val="both"/>
              <w:rPr>
                <w:rFonts w:ascii="Times New Roman" w:eastAsia="Calibri" w:hAnsi="Times New Roman" w:cs="Times New Roman"/>
                <w:b/>
                <w:color w:val="000000"/>
                <w:spacing w:val="-2"/>
              </w:rPr>
            </w:pPr>
            <w:r w:rsidRPr="00442C01">
              <w:rPr>
                <w:rFonts w:ascii="Times New Roman" w:eastAsia="Calibri" w:hAnsi="Times New Roman" w:cs="Times New Roman"/>
                <w:b/>
                <w:color w:val="000000"/>
                <w:spacing w:val="-2"/>
              </w:rPr>
              <w:t xml:space="preserve">Załączniki </w:t>
            </w:r>
            <w:r w:rsidRPr="00442C01">
              <w:rPr>
                <w:rFonts w:ascii="Times New Roman" w:eastAsia="Calibri" w:hAnsi="Times New Roman" w:cs="Times New Roman"/>
                <w:b/>
                <w:spacing w:val="-2"/>
              </w:rPr>
              <w:t>(istotne dokumenty źródłowe, badania, analizy itp.</w:t>
            </w:r>
            <w:r w:rsidRPr="00442C01">
              <w:rPr>
                <w:rFonts w:ascii="Times New Roman" w:eastAsia="Calibri" w:hAnsi="Times New Roman" w:cs="Times New Roman"/>
                <w:b/>
                <w:color w:val="000000"/>
                <w:spacing w:val="-2"/>
              </w:rPr>
              <w:t xml:space="preserve">) </w:t>
            </w:r>
          </w:p>
        </w:tc>
      </w:tr>
      <w:tr w:rsidR="002477A9" w:rsidRPr="00442C01" w14:paraId="3F9B7BFD" w14:textId="77777777" w:rsidTr="00F26C09">
        <w:trPr>
          <w:gridAfter w:val="1"/>
          <w:wAfter w:w="10" w:type="dxa"/>
          <w:trHeight w:val="5349"/>
        </w:trPr>
        <w:tc>
          <w:tcPr>
            <w:tcW w:w="10937" w:type="dxa"/>
            <w:gridSpan w:val="28"/>
            <w:shd w:val="clear" w:color="auto" w:fill="FFFFFF"/>
          </w:tcPr>
          <w:p w14:paraId="1ECA2026" w14:textId="77777777" w:rsidR="002477A9" w:rsidRDefault="002477A9" w:rsidP="00173D72">
            <w:pPr>
              <w:pStyle w:val="Akapitzlist"/>
              <w:numPr>
                <w:ilvl w:val="1"/>
                <w:numId w:val="1"/>
              </w:numPr>
              <w:suppressAutoHyphens/>
              <w:autoSpaceDE w:val="0"/>
              <w:autoSpaceDN w:val="0"/>
              <w:adjustRightInd w:val="0"/>
              <w:spacing w:after="0"/>
              <w:jc w:val="both"/>
              <w:rPr>
                <w:rFonts w:ascii="Times New Roman" w:eastAsia="Times New Roman" w:hAnsi="Times New Roman" w:cs="Times New Roman"/>
                <w:lang w:eastAsia="pl-PL"/>
              </w:rPr>
            </w:pPr>
            <w:r w:rsidRPr="00C84EA5">
              <w:rPr>
                <w:rFonts w:ascii="Times New Roman" w:eastAsia="Times New Roman" w:hAnsi="Times New Roman" w:cs="Times New Roman"/>
                <w:lang w:eastAsia="pl-PL"/>
              </w:rPr>
              <w:lastRenderedPageBreak/>
              <w:t>Raport z konsultacji publicznych oraz opiniowania</w:t>
            </w:r>
            <w:r>
              <w:rPr>
                <w:rFonts w:ascii="Times New Roman" w:eastAsia="Times New Roman" w:hAnsi="Times New Roman" w:cs="Times New Roman"/>
                <w:lang w:eastAsia="pl-PL"/>
              </w:rPr>
              <w:t xml:space="preserve"> (do uzupełnienia po konsultacjach)</w:t>
            </w:r>
            <w:r w:rsidRPr="00C84EA5">
              <w:rPr>
                <w:rFonts w:ascii="Times New Roman" w:eastAsia="Times New Roman" w:hAnsi="Times New Roman" w:cs="Times New Roman"/>
                <w:lang w:eastAsia="pl-PL"/>
              </w:rPr>
              <w:t>.</w:t>
            </w:r>
          </w:p>
          <w:p w14:paraId="4B401491" w14:textId="77777777" w:rsidR="002477A9" w:rsidRDefault="002477A9" w:rsidP="00173D72">
            <w:pPr>
              <w:pStyle w:val="Akapitzlist"/>
              <w:numPr>
                <w:ilvl w:val="1"/>
                <w:numId w:val="1"/>
              </w:numPr>
              <w:suppressAutoHyphens/>
              <w:autoSpaceDE w:val="0"/>
              <w:autoSpaceDN w:val="0"/>
              <w:adjustRightInd w:val="0"/>
              <w:spacing w:after="0"/>
              <w:jc w:val="both"/>
              <w:rPr>
                <w:rFonts w:ascii="Times New Roman" w:eastAsia="Times New Roman" w:hAnsi="Times New Roman" w:cs="Times New Roman"/>
                <w:lang w:eastAsia="pl-PL"/>
              </w:rPr>
            </w:pPr>
            <w:r w:rsidRPr="00AA32F8">
              <w:rPr>
                <w:rFonts w:ascii="Times New Roman" w:eastAsia="Times New Roman" w:hAnsi="Times New Roman" w:cs="Times New Roman"/>
                <w:lang w:eastAsia="pl-PL"/>
              </w:rPr>
              <w:t>Rekomendacja nr 50/2013 z dnia 29 kwietnia 2013 r. Prezesa Agencji Oceny Technologii Medycznych w sprawie zakwalifikowania świadczenia opieki zdrowotnej „</w:t>
            </w:r>
            <w:proofErr w:type="spellStart"/>
            <w:r w:rsidRPr="00AA32F8">
              <w:rPr>
                <w:rFonts w:ascii="Times New Roman" w:eastAsia="Times New Roman" w:hAnsi="Times New Roman" w:cs="Times New Roman"/>
                <w:lang w:eastAsia="pl-PL"/>
              </w:rPr>
              <w:t>hemodiafiltracja</w:t>
            </w:r>
            <w:proofErr w:type="spellEnd"/>
            <w:r w:rsidRPr="00AA32F8">
              <w:rPr>
                <w:rFonts w:ascii="Times New Roman" w:eastAsia="Times New Roman" w:hAnsi="Times New Roman" w:cs="Times New Roman"/>
                <w:lang w:eastAsia="pl-PL"/>
              </w:rPr>
              <w:t xml:space="preserve"> (HDF)”, jako świadczenia gwarantowanego, w</w:t>
            </w:r>
            <w:r>
              <w:rPr>
                <w:rFonts w:ascii="Times New Roman" w:eastAsia="Times New Roman" w:hAnsi="Times New Roman" w:cs="Times New Roman"/>
                <w:lang w:eastAsia="pl-PL"/>
              </w:rPr>
              <w:t> </w:t>
            </w:r>
            <w:r w:rsidRPr="00AA32F8">
              <w:rPr>
                <w:rFonts w:ascii="Times New Roman" w:eastAsia="Times New Roman" w:hAnsi="Times New Roman" w:cs="Times New Roman"/>
                <w:lang w:eastAsia="pl-PL"/>
              </w:rPr>
              <w:t>zakresie ambulatoryjnej opieki specjalistycznej i leczenia szpitalnego</w:t>
            </w:r>
            <w:r>
              <w:rPr>
                <w:rFonts w:ascii="Times New Roman" w:eastAsia="Times New Roman" w:hAnsi="Times New Roman" w:cs="Times New Roman"/>
                <w:lang w:eastAsia="pl-PL"/>
              </w:rPr>
              <w:t>.</w:t>
            </w:r>
          </w:p>
          <w:p w14:paraId="7461D271" w14:textId="5F52BCF3" w:rsidR="002477A9" w:rsidRDefault="002477A9" w:rsidP="00173D72">
            <w:pPr>
              <w:pStyle w:val="Akapitzlist"/>
              <w:numPr>
                <w:ilvl w:val="1"/>
                <w:numId w:val="1"/>
              </w:numPr>
              <w:suppressAutoHyphens/>
              <w:autoSpaceDE w:val="0"/>
              <w:autoSpaceDN w:val="0"/>
              <w:adjustRightInd w:val="0"/>
              <w:spacing w:after="0"/>
              <w:jc w:val="both"/>
              <w:rPr>
                <w:rFonts w:ascii="Times New Roman" w:eastAsia="Times New Roman" w:hAnsi="Times New Roman" w:cs="Times New Roman"/>
                <w:lang w:eastAsia="pl-PL"/>
              </w:rPr>
            </w:pPr>
            <w:r w:rsidRPr="00AA32F8">
              <w:rPr>
                <w:rFonts w:ascii="Times New Roman" w:eastAsia="Times New Roman" w:hAnsi="Times New Roman" w:cs="Times New Roman"/>
                <w:lang w:eastAsia="pl-PL"/>
              </w:rPr>
              <w:t>Rekomendacja nr 52/2013 z dnia 20 maja 2013 r. Prezesa Agencji Oceny Technologii Medycznych w sprawie zakwalifikowania świadczenia opieki zdrowotnej „zastosowanie znakowanych radioizotopowo peptydów w leczeniu chorych na nieoperacyjne guzy neuroendokrynne”, jako świadczenia gwarantowanego.</w:t>
            </w:r>
          </w:p>
          <w:p w14:paraId="67D33C19" w14:textId="664B8915" w:rsidR="002477A9" w:rsidRPr="00AA32F8" w:rsidRDefault="002477A9" w:rsidP="00173D72">
            <w:pPr>
              <w:pStyle w:val="Akapitzlist"/>
              <w:numPr>
                <w:ilvl w:val="1"/>
                <w:numId w:val="1"/>
              </w:numPr>
              <w:suppressAutoHyphens/>
              <w:autoSpaceDE w:val="0"/>
              <w:autoSpaceDN w:val="0"/>
              <w:adjustRightInd w:val="0"/>
              <w:spacing w:after="0"/>
              <w:jc w:val="both"/>
              <w:rPr>
                <w:rFonts w:ascii="Times New Roman" w:eastAsia="Times New Roman" w:hAnsi="Times New Roman" w:cs="Times New Roman"/>
                <w:lang w:eastAsia="pl-PL"/>
              </w:rPr>
            </w:pPr>
            <w:r w:rsidRPr="00AA32F8">
              <w:rPr>
                <w:rFonts w:ascii="Times New Roman" w:eastAsia="Times New Roman" w:hAnsi="Times New Roman" w:cs="Times New Roman"/>
                <w:lang w:eastAsia="pl-PL"/>
              </w:rPr>
              <w:t>Rekomendacja nr 168/2013 z dn</w:t>
            </w:r>
            <w:r w:rsidR="00F26C09">
              <w:rPr>
                <w:rFonts w:ascii="Times New Roman" w:eastAsia="Times New Roman" w:hAnsi="Times New Roman" w:cs="Times New Roman"/>
                <w:lang w:eastAsia="pl-PL"/>
              </w:rPr>
              <w:t>i</w:t>
            </w:r>
            <w:r w:rsidRPr="00AA32F8">
              <w:rPr>
                <w:rFonts w:ascii="Times New Roman" w:eastAsia="Times New Roman" w:hAnsi="Times New Roman" w:cs="Times New Roman"/>
                <w:lang w:eastAsia="pl-PL"/>
              </w:rPr>
              <w:t xml:space="preserve">a 25 listopada 2013 r. Prezesa Agencji Oceny Technologii Medycznych w sprawie zakwalifikowania świadczenia opieki zdrowotnej „diagnostyka zaburzeń czynności układu pozapiramidowego w przebiegu schorzeń zwyrodnieniowych ośrodkowego układu nerwowego za pomocą </w:t>
            </w:r>
            <w:proofErr w:type="spellStart"/>
            <w:r w:rsidRPr="00AA32F8">
              <w:rPr>
                <w:rFonts w:ascii="Times New Roman" w:eastAsia="Times New Roman" w:hAnsi="Times New Roman" w:cs="Times New Roman"/>
                <w:lang w:eastAsia="pl-PL"/>
              </w:rPr>
              <w:t>radiofarmaceutyków</w:t>
            </w:r>
            <w:proofErr w:type="spellEnd"/>
            <w:r w:rsidRPr="00AA32F8">
              <w:rPr>
                <w:rFonts w:ascii="Times New Roman" w:eastAsia="Times New Roman" w:hAnsi="Times New Roman" w:cs="Times New Roman"/>
                <w:lang w:eastAsia="pl-PL"/>
              </w:rPr>
              <w:t>”, jako świadczenia gwarantowanego do realizacji w zakresie ambulatoryjnej opieki specjalistycznej</w:t>
            </w:r>
            <w:r>
              <w:rPr>
                <w:rFonts w:ascii="Times New Roman" w:eastAsia="Times New Roman" w:hAnsi="Times New Roman" w:cs="Times New Roman"/>
                <w:lang w:eastAsia="pl-PL"/>
              </w:rPr>
              <w:t>.</w:t>
            </w:r>
          </w:p>
          <w:p w14:paraId="2DB57F72" w14:textId="77777777" w:rsidR="002477A9" w:rsidRPr="00AA32F8" w:rsidRDefault="002477A9" w:rsidP="00173D72">
            <w:pPr>
              <w:pStyle w:val="Akapitzlist"/>
              <w:numPr>
                <w:ilvl w:val="1"/>
                <w:numId w:val="1"/>
              </w:numPr>
              <w:suppressAutoHyphens/>
              <w:autoSpaceDE w:val="0"/>
              <w:autoSpaceDN w:val="0"/>
              <w:adjustRightInd w:val="0"/>
              <w:spacing w:after="0"/>
              <w:jc w:val="both"/>
              <w:rPr>
                <w:rFonts w:ascii="Times New Roman" w:eastAsia="Times New Roman" w:hAnsi="Times New Roman" w:cs="Times New Roman"/>
                <w:lang w:eastAsia="pl-PL"/>
              </w:rPr>
            </w:pPr>
            <w:r w:rsidRPr="00AA32F8">
              <w:rPr>
                <w:rFonts w:ascii="Times New Roman" w:eastAsia="Times New Roman" w:hAnsi="Times New Roman" w:cs="Times New Roman"/>
                <w:lang w:eastAsia="pl-PL"/>
              </w:rPr>
              <w:t>Rekomendacja nr 81/2015</w:t>
            </w:r>
            <w:r>
              <w:rPr>
                <w:rFonts w:ascii="Times New Roman" w:eastAsia="Times New Roman" w:hAnsi="Times New Roman" w:cs="Times New Roman"/>
                <w:lang w:eastAsia="pl-PL"/>
              </w:rPr>
              <w:t xml:space="preserve"> </w:t>
            </w:r>
            <w:r w:rsidRPr="00AA32F8">
              <w:rPr>
                <w:rFonts w:ascii="Times New Roman" w:eastAsia="Times New Roman" w:hAnsi="Times New Roman" w:cs="Times New Roman"/>
                <w:lang w:eastAsia="pl-PL"/>
              </w:rPr>
              <w:t>z dnia 22 października 2015 r. Prezesa Agencji Oceny Technologii Medycznych i Taryfikacji w sprawie zakwalifikowania świadczenia „System Ciągłego Monitorowania Glikemii (CGM) u osób z cukrzycą” jako świadczenia gwarantowanego z zakresu ambulatoryjnej opieki specjalistycznej</w:t>
            </w:r>
            <w:r>
              <w:rPr>
                <w:rFonts w:ascii="Times New Roman" w:eastAsia="Times New Roman" w:hAnsi="Times New Roman" w:cs="Times New Roman"/>
                <w:lang w:eastAsia="pl-PL"/>
              </w:rPr>
              <w:t>.</w:t>
            </w:r>
          </w:p>
          <w:p w14:paraId="26E715A0" w14:textId="77777777" w:rsidR="002477A9" w:rsidRDefault="002477A9" w:rsidP="00173D72">
            <w:pPr>
              <w:pStyle w:val="Akapitzlist"/>
              <w:numPr>
                <w:ilvl w:val="1"/>
                <w:numId w:val="1"/>
              </w:numPr>
              <w:suppressAutoHyphens/>
              <w:autoSpaceDE w:val="0"/>
              <w:autoSpaceDN w:val="0"/>
              <w:adjustRightInd w:val="0"/>
              <w:spacing w:after="0"/>
              <w:jc w:val="both"/>
              <w:rPr>
                <w:rFonts w:ascii="Times New Roman" w:eastAsia="Times New Roman" w:hAnsi="Times New Roman" w:cs="Times New Roman"/>
                <w:lang w:eastAsia="pl-PL"/>
              </w:rPr>
            </w:pPr>
            <w:r w:rsidRPr="00AA32F8">
              <w:rPr>
                <w:rFonts w:ascii="Times New Roman" w:eastAsia="Times New Roman" w:hAnsi="Times New Roman" w:cs="Times New Roman"/>
                <w:lang w:eastAsia="pl-PL"/>
              </w:rPr>
              <w:t xml:space="preserve">Rekomendacja nr 87/2015 z dnia 6 listopada 2015 r. Prezesa Agencji Oceny Technologii Medycznych w sprawie zakwalifikowania świadczenia opieki zdrowotnej „Diagnostyka i modyfikacja leczenia pacjentów z cukrzycą </w:t>
            </w:r>
            <w:proofErr w:type="spellStart"/>
            <w:r w:rsidRPr="00AA32F8">
              <w:rPr>
                <w:rFonts w:ascii="Times New Roman" w:eastAsia="Times New Roman" w:hAnsi="Times New Roman" w:cs="Times New Roman"/>
                <w:lang w:eastAsia="pl-PL"/>
              </w:rPr>
              <w:t>monogenową</w:t>
            </w:r>
            <w:proofErr w:type="spellEnd"/>
            <w:r w:rsidRPr="00AA32F8">
              <w:rPr>
                <w:rFonts w:ascii="Times New Roman" w:eastAsia="Times New Roman" w:hAnsi="Times New Roman" w:cs="Times New Roman"/>
                <w:lang w:eastAsia="pl-PL"/>
              </w:rPr>
              <w:t>”, jako świadczenia gwarantowanego z zakresu ambulatoryjnej opieki specjalistycznej</w:t>
            </w:r>
            <w:r>
              <w:rPr>
                <w:rFonts w:ascii="Times New Roman" w:eastAsia="Times New Roman" w:hAnsi="Times New Roman" w:cs="Times New Roman"/>
                <w:lang w:eastAsia="pl-PL"/>
              </w:rPr>
              <w:t>.</w:t>
            </w:r>
          </w:p>
          <w:p w14:paraId="0A357378" w14:textId="77777777" w:rsidR="002477A9" w:rsidRPr="006B36E6" w:rsidRDefault="002477A9" w:rsidP="00173D72">
            <w:pPr>
              <w:pStyle w:val="Akapitzlist"/>
              <w:numPr>
                <w:ilvl w:val="1"/>
                <w:numId w:val="1"/>
              </w:numPr>
              <w:suppressAutoHyphens/>
              <w:autoSpaceDE w:val="0"/>
              <w:autoSpaceDN w:val="0"/>
              <w:adjustRightInd w:val="0"/>
              <w:spacing w:after="0"/>
              <w:jc w:val="both"/>
              <w:rPr>
                <w:rFonts w:ascii="Times New Roman" w:eastAsia="Times New Roman" w:hAnsi="Times New Roman" w:cs="Times New Roman"/>
                <w:lang w:eastAsia="pl-PL"/>
              </w:rPr>
            </w:pPr>
            <w:r w:rsidRPr="006B36E6">
              <w:rPr>
                <w:rFonts w:ascii="Times New Roman" w:eastAsia="Times New Roman" w:hAnsi="Times New Roman" w:cs="Times New Roman"/>
                <w:lang w:eastAsia="pl-PL"/>
              </w:rPr>
              <w:t xml:space="preserve">Opracowanie na potrzeby wydania opinii </w:t>
            </w:r>
            <w:r>
              <w:rPr>
                <w:rFonts w:ascii="Times New Roman" w:eastAsia="Times New Roman" w:hAnsi="Times New Roman" w:cs="Times New Roman"/>
                <w:lang w:eastAsia="pl-PL"/>
              </w:rPr>
              <w:t xml:space="preserve">Prezesa Agencji Oceny Technologii Medycznych i Taryfikacji </w:t>
            </w:r>
            <w:r w:rsidRPr="006B36E6">
              <w:rPr>
                <w:rFonts w:ascii="Times New Roman" w:eastAsia="Times New Roman" w:hAnsi="Times New Roman" w:cs="Times New Roman"/>
                <w:lang w:eastAsia="pl-PL"/>
              </w:rPr>
              <w:t>w zakresie zasadności dokonania zmian w opisie świadczenia ciągłego monitorowania glikemii (CGM)</w:t>
            </w:r>
          </w:p>
        </w:tc>
      </w:tr>
    </w:tbl>
    <w:p w14:paraId="4AF077FE" w14:textId="77777777" w:rsidR="00E23702" w:rsidRPr="00442C01" w:rsidRDefault="00E23702" w:rsidP="00525FDC">
      <w:pPr>
        <w:spacing w:after="0"/>
        <w:rPr>
          <w:rFonts w:ascii="Times New Roman" w:hAnsi="Times New Roman" w:cs="Times New Roman"/>
        </w:rPr>
      </w:pPr>
    </w:p>
    <w:sectPr w:rsidR="00E23702" w:rsidRPr="00442C01" w:rsidSect="00761362">
      <w:pgSz w:w="11906" w:h="16838"/>
      <w:pgMar w:top="284" w:right="707" w:bottom="568" w:left="720" w:header="708" w:footer="29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303E0850"/>
    <w:lvl w:ilvl="0">
      <w:start w:val="1"/>
      <w:numFmt w:val="decimal"/>
      <w:lvlText w:val="%1."/>
      <w:lvlJc w:val="left"/>
      <w:rPr>
        <w:rFonts w:ascii="Arial" w:hAnsi="Arial" w:cs="Arial" w:hint="default"/>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15:restartNumberingAfterBreak="0">
    <w:nsid w:val="11C324EF"/>
    <w:multiLevelType w:val="hybridMultilevel"/>
    <w:tmpl w:val="40CACF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92A41E7"/>
    <w:multiLevelType w:val="hybridMultilevel"/>
    <w:tmpl w:val="0046CBB6"/>
    <w:lvl w:ilvl="0" w:tplc="680E46FE">
      <w:start w:val="1"/>
      <w:numFmt w:val="decimal"/>
      <w:lvlText w:val="%1."/>
      <w:lvlJc w:val="left"/>
      <w:pPr>
        <w:tabs>
          <w:tab w:val="num" w:pos="360"/>
        </w:tabs>
        <w:ind w:left="360" w:hanging="360"/>
      </w:pPr>
      <w:rPr>
        <w:rFonts w:hint="default"/>
        <w:b/>
      </w:rPr>
    </w:lvl>
    <w:lvl w:ilvl="1" w:tplc="EFE605D8">
      <w:start w:val="1"/>
      <w:numFmt w:val="decimal"/>
      <w:lvlText w:val="%2)"/>
      <w:lvlJc w:val="left"/>
      <w:pPr>
        <w:tabs>
          <w:tab w:val="num" w:pos="-360"/>
        </w:tabs>
        <w:ind w:left="360" w:hanging="360"/>
      </w:pPr>
      <w:rPr>
        <w:rFonts w:hint="default"/>
        <w:b w:val="0"/>
        <w:color w:val="auto"/>
      </w:rPr>
    </w:lvl>
    <w:lvl w:ilvl="2" w:tplc="4D7CF262">
      <w:start w:val="1"/>
      <w:numFmt w:val="decimal"/>
      <w:lvlText w:val="%3)"/>
      <w:lvlJc w:val="left"/>
      <w:pPr>
        <w:tabs>
          <w:tab w:val="num" w:pos="-360"/>
        </w:tabs>
        <w:ind w:left="360" w:hanging="360"/>
      </w:pPr>
      <w:rPr>
        <w:rFonts w:hint="default"/>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E52"/>
    <w:rsid w:val="000117E1"/>
    <w:rsid w:val="00021728"/>
    <w:rsid w:val="00073EF4"/>
    <w:rsid w:val="000916D8"/>
    <w:rsid w:val="00097666"/>
    <w:rsid w:val="000A6952"/>
    <w:rsid w:val="000B5BFD"/>
    <w:rsid w:val="00116C03"/>
    <w:rsid w:val="00132F72"/>
    <w:rsid w:val="001372B2"/>
    <w:rsid w:val="00173D72"/>
    <w:rsid w:val="00174C75"/>
    <w:rsid w:val="00176BFA"/>
    <w:rsid w:val="001826D2"/>
    <w:rsid w:val="00184208"/>
    <w:rsid w:val="001910DE"/>
    <w:rsid w:val="001A3B1B"/>
    <w:rsid w:val="001C0FE9"/>
    <w:rsid w:val="001F71C1"/>
    <w:rsid w:val="002477A9"/>
    <w:rsid w:val="00267C38"/>
    <w:rsid w:val="002752CB"/>
    <w:rsid w:val="002A4F89"/>
    <w:rsid w:val="002B76BE"/>
    <w:rsid w:val="002E0C70"/>
    <w:rsid w:val="002E23EF"/>
    <w:rsid w:val="00335DC6"/>
    <w:rsid w:val="003649D9"/>
    <w:rsid w:val="00367105"/>
    <w:rsid w:val="0037012C"/>
    <w:rsid w:val="00442C01"/>
    <w:rsid w:val="004439AD"/>
    <w:rsid w:val="004636A4"/>
    <w:rsid w:val="004E2687"/>
    <w:rsid w:val="004F4240"/>
    <w:rsid w:val="004F7ED7"/>
    <w:rsid w:val="005006A7"/>
    <w:rsid w:val="00512872"/>
    <w:rsid w:val="00523FA1"/>
    <w:rsid w:val="00525FDC"/>
    <w:rsid w:val="00534EBC"/>
    <w:rsid w:val="00542169"/>
    <w:rsid w:val="00553C66"/>
    <w:rsid w:val="005A6E2B"/>
    <w:rsid w:val="005B08CB"/>
    <w:rsid w:val="005D0B4B"/>
    <w:rsid w:val="00612230"/>
    <w:rsid w:val="0062444A"/>
    <w:rsid w:val="006B36E6"/>
    <w:rsid w:val="006D5A99"/>
    <w:rsid w:val="006F4194"/>
    <w:rsid w:val="0070097F"/>
    <w:rsid w:val="007012F0"/>
    <w:rsid w:val="007034CE"/>
    <w:rsid w:val="007067E7"/>
    <w:rsid w:val="00761362"/>
    <w:rsid w:val="007A5C3D"/>
    <w:rsid w:val="007B0B5C"/>
    <w:rsid w:val="007B1E52"/>
    <w:rsid w:val="007D6324"/>
    <w:rsid w:val="007D6FCF"/>
    <w:rsid w:val="007D7539"/>
    <w:rsid w:val="007E4745"/>
    <w:rsid w:val="00807AC2"/>
    <w:rsid w:val="00877481"/>
    <w:rsid w:val="00886E7E"/>
    <w:rsid w:val="008954AF"/>
    <w:rsid w:val="008D2169"/>
    <w:rsid w:val="008D35D1"/>
    <w:rsid w:val="008F2FDE"/>
    <w:rsid w:val="008F7F64"/>
    <w:rsid w:val="0090452C"/>
    <w:rsid w:val="0093510B"/>
    <w:rsid w:val="00950CA5"/>
    <w:rsid w:val="009919DC"/>
    <w:rsid w:val="0099230C"/>
    <w:rsid w:val="009C26F2"/>
    <w:rsid w:val="009D44EC"/>
    <w:rsid w:val="009D756E"/>
    <w:rsid w:val="00A23C52"/>
    <w:rsid w:val="00A277A0"/>
    <w:rsid w:val="00A37EBF"/>
    <w:rsid w:val="00A53886"/>
    <w:rsid w:val="00A64621"/>
    <w:rsid w:val="00A83DFF"/>
    <w:rsid w:val="00A9044D"/>
    <w:rsid w:val="00A949D1"/>
    <w:rsid w:val="00AA32F8"/>
    <w:rsid w:val="00AA4C62"/>
    <w:rsid w:val="00AC157C"/>
    <w:rsid w:val="00AD6337"/>
    <w:rsid w:val="00B0203A"/>
    <w:rsid w:val="00B0588D"/>
    <w:rsid w:val="00B15C49"/>
    <w:rsid w:val="00B4201C"/>
    <w:rsid w:val="00B61FEA"/>
    <w:rsid w:val="00B87202"/>
    <w:rsid w:val="00B92A16"/>
    <w:rsid w:val="00BC170E"/>
    <w:rsid w:val="00BD0318"/>
    <w:rsid w:val="00BF3A25"/>
    <w:rsid w:val="00C11336"/>
    <w:rsid w:val="00C14F02"/>
    <w:rsid w:val="00C203E3"/>
    <w:rsid w:val="00C47C21"/>
    <w:rsid w:val="00C50E6B"/>
    <w:rsid w:val="00C761E8"/>
    <w:rsid w:val="00C84EA5"/>
    <w:rsid w:val="00C85990"/>
    <w:rsid w:val="00CA66B0"/>
    <w:rsid w:val="00CC272B"/>
    <w:rsid w:val="00CD0968"/>
    <w:rsid w:val="00CD27AF"/>
    <w:rsid w:val="00CF7D6A"/>
    <w:rsid w:val="00D069E7"/>
    <w:rsid w:val="00D26B5E"/>
    <w:rsid w:val="00D506E1"/>
    <w:rsid w:val="00D74291"/>
    <w:rsid w:val="00D832AD"/>
    <w:rsid w:val="00DA135B"/>
    <w:rsid w:val="00DB3531"/>
    <w:rsid w:val="00DF7E2C"/>
    <w:rsid w:val="00E20D45"/>
    <w:rsid w:val="00E23702"/>
    <w:rsid w:val="00E335AD"/>
    <w:rsid w:val="00E53AAA"/>
    <w:rsid w:val="00E8783C"/>
    <w:rsid w:val="00E959EB"/>
    <w:rsid w:val="00EA243E"/>
    <w:rsid w:val="00EA5058"/>
    <w:rsid w:val="00EC17FD"/>
    <w:rsid w:val="00EF4C94"/>
    <w:rsid w:val="00F26C09"/>
    <w:rsid w:val="00F427AA"/>
    <w:rsid w:val="00F51672"/>
    <w:rsid w:val="00F7208F"/>
    <w:rsid w:val="00F80B35"/>
    <w:rsid w:val="00F911B1"/>
    <w:rsid w:val="00FC2B2C"/>
    <w:rsid w:val="00FF07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C1FC6"/>
  <w15:docId w15:val="{0F593F5E-F7DD-4B91-92A9-6C8B2A1D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442C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2752CB"/>
    <w:rPr>
      <w:sz w:val="16"/>
      <w:szCs w:val="16"/>
    </w:rPr>
  </w:style>
  <w:style w:type="paragraph" w:styleId="Tekstkomentarza">
    <w:name w:val="annotation text"/>
    <w:basedOn w:val="Normalny"/>
    <w:link w:val="TekstkomentarzaZnak"/>
    <w:uiPriority w:val="99"/>
    <w:semiHidden/>
    <w:unhideWhenUsed/>
    <w:rsid w:val="002752C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52CB"/>
    <w:rPr>
      <w:sz w:val="20"/>
      <w:szCs w:val="20"/>
    </w:rPr>
  </w:style>
  <w:style w:type="paragraph" w:styleId="Tematkomentarza">
    <w:name w:val="annotation subject"/>
    <w:basedOn w:val="Tekstkomentarza"/>
    <w:next w:val="Tekstkomentarza"/>
    <w:link w:val="TematkomentarzaZnak"/>
    <w:uiPriority w:val="99"/>
    <w:semiHidden/>
    <w:unhideWhenUsed/>
    <w:rsid w:val="002752CB"/>
    <w:rPr>
      <w:b/>
      <w:bCs/>
    </w:rPr>
  </w:style>
  <w:style w:type="character" w:customStyle="1" w:styleId="TematkomentarzaZnak">
    <w:name w:val="Temat komentarza Znak"/>
    <w:basedOn w:val="TekstkomentarzaZnak"/>
    <w:link w:val="Tematkomentarza"/>
    <w:uiPriority w:val="99"/>
    <w:semiHidden/>
    <w:rsid w:val="002752CB"/>
    <w:rPr>
      <w:b/>
      <w:bCs/>
      <w:sz w:val="20"/>
      <w:szCs w:val="20"/>
    </w:rPr>
  </w:style>
  <w:style w:type="paragraph" w:styleId="Tekstdymka">
    <w:name w:val="Balloon Text"/>
    <w:basedOn w:val="Normalny"/>
    <w:link w:val="TekstdymkaZnak"/>
    <w:uiPriority w:val="99"/>
    <w:semiHidden/>
    <w:unhideWhenUsed/>
    <w:rsid w:val="002752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52CB"/>
    <w:rPr>
      <w:rFonts w:ascii="Segoe UI" w:hAnsi="Segoe UI" w:cs="Segoe UI"/>
      <w:sz w:val="18"/>
      <w:szCs w:val="18"/>
    </w:rPr>
  </w:style>
  <w:style w:type="character" w:customStyle="1" w:styleId="Nagwek3Znak">
    <w:name w:val="Nagłówek 3 Znak"/>
    <w:basedOn w:val="Domylnaczcionkaakapitu"/>
    <w:link w:val="Nagwek3"/>
    <w:uiPriority w:val="9"/>
    <w:rsid w:val="00442C01"/>
    <w:rPr>
      <w:rFonts w:asciiTheme="majorHAnsi" w:eastAsiaTheme="majorEastAsia" w:hAnsiTheme="majorHAnsi" w:cstheme="majorBidi"/>
      <w:color w:val="243F60" w:themeColor="accent1" w:themeShade="7F"/>
      <w:sz w:val="24"/>
      <w:szCs w:val="24"/>
    </w:rPr>
  </w:style>
  <w:style w:type="paragraph" w:styleId="Akapitzlist">
    <w:name w:val="List Paragraph"/>
    <w:basedOn w:val="Normalny"/>
    <w:uiPriority w:val="34"/>
    <w:qFormat/>
    <w:rsid w:val="00C84EA5"/>
    <w:pPr>
      <w:ind w:left="720"/>
      <w:contextualSpacing/>
    </w:pPr>
  </w:style>
  <w:style w:type="character" w:customStyle="1" w:styleId="Teksttreci4">
    <w:name w:val="Tekst treści (4)_"/>
    <w:link w:val="Teksttreci41"/>
    <w:rsid w:val="007E4745"/>
    <w:rPr>
      <w:sz w:val="19"/>
      <w:szCs w:val="19"/>
      <w:shd w:val="clear" w:color="auto" w:fill="FFFFFF"/>
    </w:rPr>
  </w:style>
  <w:style w:type="paragraph" w:customStyle="1" w:styleId="Teksttreci41">
    <w:name w:val="Tekst treści (4)1"/>
    <w:basedOn w:val="Normalny"/>
    <w:link w:val="Teksttreci4"/>
    <w:rsid w:val="007E4745"/>
    <w:pPr>
      <w:widowControl w:val="0"/>
      <w:shd w:val="clear" w:color="auto" w:fill="FFFFFF"/>
      <w:spacing w:after="0" w:line="254" w:lineRule="exact"/>
      <w:ind w:hanging="380"/>
      <w:jc w:val="both"/>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995917">
      <w:bodyDiv w:val="1"/>
      <w:marLeft w:val="0"/>
      <w:marRight w:val="0"/>
      <w:marTop w:val="0"/>
      <w:marBottom w:val="0"/>
      <w:divBdr>
        <w:top w:val="none" w:sz="0" w:space="0" w:color="auto"/>
        <w:left w:val="none" w:sz="0" w:space="0" w:color="auto"/>
        <w:bottom w:val="none" w:sz="0" w:space="0" w:color="auto"/>
        <w:right w:val="none" w:sz="0" w:space="0" w:color="auto"/>
      </w:divBdr>
    </w:div>
    <w:div w:id="186791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malinowska@mz.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4505</Words>
  <Characters>27035</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Karwowska Teresa</dc:creator>
  <cp:lastModifiedBy>Katarzyna Chrobocińska</cp:lastModifiedBy>
  <cp:revision>2</cp:revision>
  <cp:lastPrinted>2017-05-11T12:52:00Z</cp:lastPrinted>
  <dcterms:created xsi:type="dcterms:W3CDTF">2018-01-04T12:47:00Z</dcterms:created>
  <dcterms:modified xsi:type="dcterms:W3CDTF">2018-01-04T12:47:00Z</dcterms:modified>
</cp:coreProperties>
</file>