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3AD0" w14:textId="77777777" w:rsidR="00B000C2" w:rsidRPr="001D6CF4" w:rsidRDefault="00B000C2" w:rsidP="001D6CF4">
      <w:pPr>
        <w:rPr>
          <w:rStyle w:val="Ppogrubienie"/>
          <w:b w:val="0"/>
        </w:rPr>
      </w:pPr>
      <w:bookmarkStart w:id="0" w:name="_GoBack"/>
      <w:bookmarkEnd w:id="0"/>
    </w:p>
    <w:p w14:paraId="71BE5C98" w14:textId="77777777" w:rsidR="003255D8" w:rsidRPr="00663991" w:rsidRDefault="003255D8" w:rsidP="008222B2">
      <w:pPr>
        <w:pStyle w:val="TYTDZOZNoznaczenietytuulubdziau"/>
        <w:rPr>
          <w:rStyle w:val="Ppogrubienie"/>
        </w:rPr>
      </w:pPr>
      <w:r w:rsidRPr="00663991">
        <w:rPr>
          <w:rStyle w:val="Ppogrubienie"/>
        </w:rPr>
        <w:t>Rozporządzenie</w:t>
      </w:r>
      <w:r w:rsidRPr="00663991">
        <w:rPr>
          <w:rStyle w:val="Ppogrubienie"/>
        </w:rPr>
        <w:br/>
        <w:t>Ministra Zdrowia</w:t>
      </w:r>
      <w:r w:rsidRPr="00663991">
        <w:rPr>
          <w:rStyle w:val="IGindeksgrny"/>
        </w:rPr>
        <w:footnoteReference w:id="1"/>
      </w:r>
      <w:r w:rsidRPr="00663991">
        <w:rPr>
          <w:rStyle w:val="IGindeksgrny"/>
        </w:rPr>
        <w:t>) </w:t>
      </w:r>
    </w:p>
    <w:p w14:paraId="2EF31B85" w14:textId="77777777" w:rsidR="003255D8" w:rsidRPr="003255D8" w:rsidRDefault="003255D8" w:rsidP="00CF400A">
      <w:pPr>
        <w:pStyle w:val="DATAAKTUdatauchwalenialubwydaniaaktu"/>
        <w:rPr>
          <w:rStyle w:val="Ppogrubienie"/>
          <w:b w:val="0"/>
        </w:rPr>
      </w:pPr>
      <w:r w:rsidRPr="003255D8">
        <w:rPr>
          <w:rStyle w:val="Ppogrubienie"/>
        </w:rPr>
        <w:t>z dnia .................... 201</w:t>
      </w:r>
      <w:r w:rsidR="007C3FDC">
        <w:rPr>
          <w:rStyle w:val="Ppogrubienie"/>
        </w:rPr>
        <w:t>7</w:t>
      </w:r>
      <w:r w:rsidRPr="003255D8">
        <w:rPr>
          <w:rStyle w:val="Ppogrubienie"/>
        </w:rPr>
        <w:t> r.</w:t>
      </w:r>
    </w:p>
    <w:p w14:paraId="3F739129" w14:textId="77777777" w:rsidR="003255D8" w:rsidRPr="003255D8" w:rsidRDefault="003255D8" w:rsidP="003255D8">
      <w:pPr>
        <w:pStyle w:val="TYTUAKTUprzedmiotregulacjiustawylubrozporzdzenia"/>
      </w:pPr>
      <w:r w:rsidRPr="003255D8">
        <w:t>zmieniające rozporządzenie w sprawie świadczeń gwarantowanych z zakresu ambulatoryjnej opieki specjalistycznej</w:t>
      </w:r>
    </w:p>
    <w:p w14:paraId="4F94B58C" w14:textId="5FE94984" w:rsidR="003255D8" w:rsidRPr="003255D8" w:rsidRDefault="003255D8" w:rsidP="003255D8">
      <w:pPr>
        <w:pStyle w:val="NIEARTTEKSTtekstnieartykuowanynppodstprawnarozplubpreambua"/>
      </w:pPr>
      <w:r w:rsidRPr="003255D8">
        <w:t>Na podstawie art. 31d ustawy z dnia 27 sierpnia 2004 r. o świadczeniach opieki zdrowotnej finansowanych ze środków publicznych (</w:t>
      </w:r>
      <w:r w:rsidR="00B110B2" w:rsidRPr="00B110B2">
        <w:t xml:space="preserve">Dz. U. z </w:t>
      </w:r>
      <w:r w:rsidR="001679E3" w:rsidRPr="00B110B2">
        <w:t>201</w:t>
      </w:r>
      <w:r w:rsidR="00B03F94">
        <w:t>7</w:t>
      </w:r>
      <w:r w:rsidR="001679E3" w:rsidRPr="00B110B2">
        <w:t xml:space="preserve"> </w:t>
      </w:r>
      <w:r w:rsidR="00B110B2" w:rsidRPr="00B110B2">
        <w:t xml:space="preserve">r. poz. </w:t>
      </w:r>
      <w:r w:rsidR="001679E3">
        <w:t>193</w:t>
      </w:r>
      <w:r w:rsidR="00B03F94">
        <w:t>8</w:t>
      </w:r>
      <w:r w:rsidR="00CC3FB2">
        <w:t>,</w:t>
      </w:r>
      <w:r w:rsidR="000C6C59">
        <w:t xml:space="preserve"> 2110</w:t>
      </w:r>
      <w:r w:rsidR="00B800AB">
        <w:t>,</w:t>
      </w:r>
      <w:r w:rsidR="00CC3FB2">
        <w:t xml:space="preserve"> 2217</w:t>
      </w:r>
      <w:r w:rsidR="001F448A">
        <w:t>,</w:t>
      </w:r>
      <w:r w:rsidR="00B800AB">
        <w:t xml:space="preserve"> 2361</w:t>
      </w:r>
      <w:r w:rsidR="001F448A">
        <w:t xml:space="preserve"> i 2434</w:t>
      </w:r>
      <w:r w:rsidR="007C3FDC">
        <w:t>)</w:t>
      </w:r>
      <w:r w:rsidRPr="003255D8">
        <w:t xml:space="preserve"> zarządza się, co następuje: </w:t>
      </w:r>
    </w:p>
    <w:p w14:paraId="6B92E96E" w14:textId="62718CB4" w:rsidR="00EE6A24" w:rsidRDefault="003255D8" w:rsidP="00CC1E3B">
      <w:pPr>
        <w:pStyle w:val="ARTartustawynprozporzdzenia"/>
      </w:pPr>
      <w:r w:rsidRPr="00E93558">
        <w:rPr>
          <w:rStyle w:val="Ppogrubienie"/>
        </w:rPr>
        <w:t>§ 1.</w:t>
      </w:r>
      <w:r w:rsidRPr="00CC1E3B">
        <w:t xml:space="preserve"> W rozporządzeniu Ministra Zdrowia z dnia </w:t>
      </w:r>
      <w:r w:rsidR="003F6DEA" w:rsidRPr="00CC1E3B">
        <w:t>6</w:t>
      </w:r>
      <w:r w:rsidR="008222B2" w:rsidRPr="00CC1E3B">
        <w:t xml:space="preserve"> listopada 2013</w:t>
      </w:r>
      <w:r w:rsidRPr="00CC1E3B">
        <w:t xml:space="preserve"> r. w sprawie świadczeń gwarantowanych z zakresu </w:t>
      </w:r>
      <w:r w:rsidR="00892A9F" w:rsidRPr="00CC1E3B">
        <w:t>ambulatoryjnej opieki specjalistycznej</w:t>
      </w:r>
      <w:r w:rsidR="003F6DEA" w:rsidRPr="00CC1E3B">
        <w:t xml:space="preserve"> (Dz. U. </w:t>
      </w:r>
      <w:r w:rsidR="00772106" w:rsidRPr="00CC1E3B">
        <w:t>z 2016 r. poz. 357</w:t>
      </w:r>
      <w:r w:rsidR="002B1001">
        <w:t xml:space="preserve"> i</w:t>
      </w:r>
      <w:r w:rsidR="00DC710C">
        <w:t> </w:t>
      </w:r>
      <w:r w:rsidR="002B1001">
        <w:t>2164</w:t>
      </w:r>
      <w:r w:rsidR="000D6E16">
        <w:t xml:space="preserve"> oraz z 2017 r. poz. 1244</w:t>
      </w:r>
      <w:r w:rsidR="00D14075">
        <w:t xml:space="preserve">, </w:t>
      </w:r>
      <w:r w:rsidR="00CC3FB2">
        <w:t>1766</w:t>
      </w:r>
      <w:r w:rsidR="00D14075">
        <w:t xml:space="preserve"> i </w:t>
      </w:r>
      <w:r w:rsidR="00B800AB">
        <w:t>2423</w:t>
      </w:r>
      <w:r w:rsidR="00B800AB" w:rsidRPr="00CC1E3B">
        <w:t xml:space="preserve">) </w:t>
      </w:r>
      <w:r w:rsidR="00EE6A24">
        <w:t>wprowadza się następujące zmiany:</w:t>
      </w:r>
    </w:p>
    <w:p w14:paraId="0A87BAC1" w14:textId="4CFBDA1E" w:rsidR="004B51BF" w:rsidRDefault="00EE6A24" w:rsidP="007C7F4F">
      <w:pPr>
        <w:pStyle w:val="PKTpunkt"/>
      </w:pPr>
      <w:r>
        <w:t xml:space="preserve">1) w załączniku nr </w:t>
      </w:r>
      <w:r w:rsidR="003E6919">
        <w:t>2</w:t>
      </w:r>
      <w:r w:rsidR="00641921">
        <w:t xml:space="preserve"> do rozporządzenia: </w:t>
      </w:r>
    </w:p>
    <w:p w14:paraId="0301477E" w14:textId="235991FD" w:rsidR="003E6919" w:rsidRPr="003E6919" w:rsidRDefault="003E6919" w:rsidP="007C7F4F">
      <w:pPr>
        <w:pStyle w:val="ZLITzmlitartykuempunktem"/>
      </w:pPr>
      <w:r w:rsidRPr="003E6919">
        <w:t>a) w części</w:t>
      </w:r>
      <w:r w:rsidRPr="003E6919" w:rsidDel="003E6919">
        <w:t xml:space="preserve"> </w:t>
      </w:r>
      <w:r w:rsidR="00794739">
        <w:t xml:space="preserve">I </w:t>
      </w:r>
      <w:r>
        <w:t>,,</w:t>
      </w:r>
      <w:r w:rsidRPr="003E6919">
        <w:t>M. Badania genetyczne</w:t>
      </w:r>
      <w:r>
        <w:t>"</w:t>
      </w:r>
      <w:r w:rsidRPr="003E6919">
        <w:t xml:space="preserve"> dodaje się lp. 917 w brzmieniu określonym w załączniku nr 1 do niniejszego rozporządzenia,</w:t>
      </w:r>
    </w:p>
    <w:p w14:paraId="63207095" w14:textId="139F01F0" w:rsidR="003E6919" w:rsidRPr="00794739" w:rsidRDefault="003E6919" w:rsidP="007C7F4F">
      <w:pPr>
        <w:pStyle w:val="ZLITzmlitartykuempunktem"/>
      </w:pPr>
      <w:r w:rsidRPr="003E6919">
        <w:t xml:space="preserve">b) w części </w:t>
      </w:r>
      <w:r w:rsidR="00794739">
        <w:t>,,</w:t>
      </w:r>
      <w:r w:rsidRPr="003E6919">
        <w:t>VII. Świadczenia medycyny nuklearnej</w:t>
      </w:r>
      <w:r w:rsidR="00794739">
        <w:t>"</w:t>
      </w:r>
      <w:r w:rsidRPr="003E6919">
        <w:t xml:space="preserve"> dodaje się lp. 10 w brzmieniu określonym w załączniku nr 2 do niniejszego rozporządzenia;</w:t>
      </w:r>
    </w:p>
    <w:p w14:paraId="77E40E30" w14:textId="757F4493" w:rsidR="003E6919" w:rsidRDefault="003E6919" w:rsidP="007C7F4F">
      <w:pPr>
        <w:pStyle w:val="PKTpunkt"/>
      </w:pPr>
      <w:r>
        <w:t xml:space="preserve">2) w załączniku </w:t>
      </w:r>
      <w:r w:rsidRPr="003E6919">
        <w:t>nr 5</w:t>
      </w:r>
      <w:r>
        <w:t xml:space="preserve"> do rozporządzenia:</w:t>
      </w:r>
    </w:p>
    <w:p w14:paraId="442D5E91" w14:textId="561A0809" w:rsidR="00641921" w:rsidRDefault="00641921" w:rsidP="007C7F4F">
      <w:pPr>
        <w:pStyle w:val="LITlitera"/>
      </w:pPr>
      <w:r>
        <w:t xml:space="preserve">a) w lp. 17 w </w:t>
      </w:r>
      <w:r w:rsidRPr="00D01CD0">
        <w:t>części</w:t>
      </w:r>
      <w:r>
        <w:t xml:space="preserve"> </w:t>
      </w:r>
      <w:r w:rsidR="003E6919">
        <w:t>,,</w:t>
      </w:r>
      <w:r>
        <w:t>Wyposażenie w sprzęt i aparaturę medyczną" pkt 1 otrzymuje brzmienie:</w:t>
      </w:r>
    </w:p>
    <w:p w14:paraId="404E2CFF" w14:textId="64C8CBF2" w:rsidR="00641921" w:rsidRPr="00641921" w:rsidRDefault="00641921">
      <w:pPr>
        <w:pStyle w:val="LITlitera"/>
      </w:pPr>
      <w:r w:rsidRPr="00641921">
        <w:t>„1) co najmniej dwa akceleratory linowe z kolimatorem wielolistkowym i systemem wizuali</w:t>
      </w:r>
      <w:r w:rsidR="00861271">
        <w:t>z</w:t>
      </w:r>
      <w:r w:rsidRPr="00641921">
        <w:t xml:space="preserve">acji wiązki promieniowania (EPID), generujące co najmniej dwie wiązki promieniowania fotonowego, przy czym co najmniej jedną o niskiej energii między 6-9 </w:t>
      </w:r>
      <w:proofErr w:type="spellStart"/>
      <w:r w:rsidRPr="00641921">
        <w:t>MeV</w:t>
      </w:r>
      <w:proofErr w:type="spellEnd"/>
      <w:r w:rsidRPr="00641921">
        <w:t xml:space="preserve">, oraz co najmniej jedną o energii powyżej 9 </w:t>
      </w:r>
      <w:proofErr w:type="spellStart"/>
      <w:r w:rsidRPr="00641921">
        <w:t>MeV</w:t>
      </w:r>
      <w:proofErr w:type="spellEnd"/>
      <w:r w:rsidRPr="00641921">
        <w:t xml:space="preserve">; wiązki elektronowe powinny posiadać co najmniej trzy energie w zakresie od 6 </w:t>
      </w:r>
      <w:proofErr w:type="spellStart"/>
      <w:r w:rsidRPr="00641921">
        <w:t>MeV</w:t>
      </w:r>
      <w:proofErr w:type="spellEnd"/>
      <w:r w:rsidRPr="00641921">
        <w:t xml:space="preserve"> wzwyż</w:t>
      </w:r>
      <w:r w:rsidR="00794739">
        <w:t>;</w:t>
      </w:r>
      <w:r w:rsidRPr="00641921">
        <w:t>”</w:t>
      </w:r>
      <w:r w:rsidR="003E6919">
        <w:t>,</w:t>
      </w:r>
    </w:p>
    <w:p w14:paraId="3BB65A3A" w14:textId="592324CD" w:rsidR="00641921" w:rsidRDefault="00641921" w:rsidP="007C7F4F">
      <w:pPr>
        <w:pStyle w:val="LITlitera"/>
      </w:pPr>
      <w:r>
        <w:t xml:space="preserve">b) w lp. 19 w części </w:t>
      </w:r>
      <w:r w:rsidR="00794739">
        <w:t>,,</w:t>
      </w:r>
      <w:r>
        <w:t>Wyposażenie w sprzęt i aparaturę medyczną" pkt 1 otrzymuje brzmienie:</w:t>
      </w:r>
    </w:p>
    <w:p w14:paraId="17E2EF50" w14:textId="4CEBCF27" w:rsidR="00641921" w:rsidRPr="00641921" w:rsidRDefault="00641921">
      <w:pPr>
        <w:pStyle w:val="LITlitera"/>
      </w:pPr>
      <w:r w:rsidRPr="00641921">
        <w:t>„1) co najmniej jeden aparat do brachyterapii (zdalnego sterowania) do aplikacji źródeł o średniej (MDR) lub wysokiej mocy dawki (HDR, PDR)</w:t>
      </w:r>
      <w:r w:rsidR="00794739">
        <w:t>;</w:t>
      </w:r>
      <w:r w:rsidRPr="00641921">
        <w:t>”;</w:t>
      </w:r>
    </w:p>
    <w:p w14:paraId="77475517" w14:textId="78BEA51D" w:rsidR="00641921" w:rsidRDefault="003E6919" w:rsidP="00D01CD0">
      <w:pPr>
        <w:pStyle w:val="USTustnpkodeksu"/>
      </w:pPr>
      <w:r>
        <w:lastRenderedPageBreak/>
        <w:t xml:space="preserve">c) </w:t>
      </w:r>
      <w:r w:rsidR="00B81765">
        <w:t xml:space="preserve"> dodaje się lp. 22-24</w:t>
      </w:r>
      <w:r w:rsidR="00641921">
        <w:t xml:space="preserve"> w brzmieniu określonym w załączniku nr 3 do niniejszego rozporządzenia. </w:t>
      </w:r>
    </w:p>
    <w:p w14:paraId="45F368EA" w14:textId="2CE3B9EE" w:rsidR="00641921" w:rsidRPr="008222B2" w:rsidRDefault="00641921" w:rsidP="00D01CD0">
      <w:pPr>
        <w:pStyle w:val="ARTartustawynprozporzdzenia"/>
      </w:pPr>
      <w:r w:rsidRPr="00D01CD0">
        <w:rPr>
          <w:rStyle w:val="Ppogrubienie"/>
        </w:rPr>
        <w:t>§ 2.</w:t>
      </w:r>
      <w:r>
        <w:t xml:space="preserve"> Rozporządzenie wchodzi w życie z dniem 1 </w:t>
      </w:r>
      <w:r w:rsidR="005E0AC6">
        <w:t>kwietnia</w:t>
      </w:r>
      <w:r>
        <w:t xml:space="preserve"> 2018 r. </w:t>
      </w:r>
    </w:p>
    <w:p w14:paraId="14143616" w14:textId="77777777" w:rsidR="003255D8" w:rsidRPr="003255D8" w:rsidRDefault="003255D8" w:rsidP="003255D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255D8" w:rsidRPr="003255D8" w14:paraId="3AA7F7B7" w14:textId="77777777" w:rsidTr="00DD1206">
        <w:tc>
          <w:tcPr>
            <w:tcW w:w="2500" w:type="pct"/>
            <w:shd w:val="clear" w:color="auto" w:fill="auto"/>
          </w:tcPr>
          <w:p w14:paraId="666BB7C4" w14:textId="77777777" w:rsidR="003255D8" w:rsidRPr="003255D8" w:rsidRDefault="003255D8" w:rsidP="003255D8"/>
        </w:tc>
        <w:tc>
          <w:tcPr>
            <w:tcW w:w="2500" w:type="pct"/>
            <w:shd w:val="clear" w:color="auto" w:fill="auto"/>
          </w:tcPr>
          <w:p w14:paraId="4D75C8DF" w14:textId="77777777" w:rsidR="003255D8" w:rsidRPr="00663991" w:rsidRDefault="003255D8" w:rsidP="003255D8">
            <w:pPr>
              <w:rPr>
                <w:rStyle w:val="Ppogrubienie"/>
              </w:rPr>
            </w:pPr>
            <w:r w:rsidRPr="00663991">
              <w:rPr>
                <w:rStyle w:val="Ppogrubienie"/>
              </w:rPr>
              <w:t>MINISTER ZDROWIA </w:t>
            </w:r>
          </w:p>
        </w:tc>
      </w:tr>
    </w:tbl>
    <w:p w14:paraId="58D7061D" w14:textId="77777777" w:rsidR="003255D8" w:rsidRPr="003255D8" w:rsidRDefault="003255D8" w:rsidP="003255D8">
      <w:pPr>
        <w:sectPr w:rsidR="003255D8" w:rsidRPr="003255D8" w:rsidSect="00BE567A">
          <w:headerReference w:type="default" r:id="rId9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12702F" w14:textId="77777777" w:rsidR="003255D8" w:rsidRPr="003255D8" w:rsidRDefault="003255D8" w:rsidP="003255D8">
      <w:pPr>
        <w:pStyle w:val="TYTUAKTUprzedmiotregulacjiustawylubrozporzdzenia"/>
      </w:pPr>
      <w:r w:rsidRPr="003255D8">
        <w:lastRenderedPageBreak/>
        <w:t>Uzasadnienie</w:t>
      </w:r>
    </w:p>
    <w:p w14:paraId="7A669941" w14:textId="75A92C32" w:rsidR="0000085B" w:rsidRPr="003255D8" w:rsidRDefault="0000085B" w:rsidP="0000085B">
      <w:pPr>
        <w:pStyle w:val="NIEARTTEKSTtekstnieartykuowanynppodstprawnarozplubpreambua"/>
      </w:pPr>
      <w:r w:rsidRPr="003255D8">
        <w:t xml:space="preserve">Projekt rozporządzenia zmieniającego rozporządzenie Ministra Zdrowia w sprawie świadczeń gwarantowanych z zakresu ambulatoryjnej opieki specjalistycznej </w:t>
      </w:r>
      <w:r>
        <w:t xml:space="preserve">stanowi </w:t>
      </w:r>
      <w:r w:rsidRPr="003255D8">
        <w:t>wykonanie upoważnienia ustawowego zawartego w art. 31d ustawy z dnia 27 sierpnia 2004 r. o świadczeniach opieki zdrowotnej finansowanych ze środków publicznych (</w:t>
      </w:r>
      <w:r w:rsidRPr="00CF400A">
        <w:t xml:space="preserve">Dz. U. z </w:t>
      </w:r>
      <w:r w:rsidR="001679E3" w:rsidRPr="00CF400A">
        <w:t>201</w:t>
      </w:r>
      <w:r w:rsidR="00986075">
        <w:t>7</w:t>
      </w:r>
      <w:r w:rsidR="001679E3" w:rsidRPr="00CF400A">
        <w:t xml:space="preserve"> </w:t>
      </w:r>
      <w:r w:rsidRPr="00CF400A">
        <w:t xml:space="preserve">r. poz. </w:t>
      </w:r>
      <w:r w:rsidR="001679E3">
        <w:t>193</w:t>
      </w:r>
      <w:r w:rsidR="00986075">
        <w:t>8</w:t>
      </w:r>
      <w:r w:rsidR="00CC3FB2">
        <w:t>, z późn. zm.</w:t>
      </w:r>
      <w:r w:rsidRPr="003255D8">
        <w:t>). </w:t>
      </w:r>
    </w:p>
    <w:p w14:paraId="2611E387" w14:textId="2B06D4FE" w:rsidR="00D01CD0" w:rsidRPr="00D01CD0" w:rsidRDefault="00D01CD0" w:rsidP="00D01CD0">
      <w:pPr>
        <w:pStyle w:val="NIEARTTEKSTtekstnieartykuowanynppodstprawnarozplubpreambua"/>
      </w:pPr>
      <w:r w:rsidRPr="00D01CD0">
        <w:t>Projekt rozporządzenia wprowadza zmiany w załączniku nr 2 oraz w załączniku nr 5 do rozporządzenia Ministra Zdrowia z dnia 6 listopada 2013 r. w sprawie świadczeń gwarantowanych z zakresu ambulatoryjnej opieki specjalistycznej przez dodanie do wykazu świadczeń gwarantowanych z zakresu ambulatoryjnej opieki specjalistycznej, zwanego dalej „wykazem”, nowych świadczeń opieki zdrowotnej, które zostały zakwalifikowane jako świadczenia gwarantowane:</w:t>
      </w:r>
    </w:p>
    <w:p w14:paraId="17527063" w14:textId="6B7EEA2F" w:rsidR="00D01CD0" w:rsidRPr="00D01CD0" w:rsidRDefault="00D01CD0" w:rsidP="00D01CD0">
      <w:pPr>
        <w:pStyle w:val="NIEARTTEKSTtekstnieartykuowanynppodstprawnarozplubpreambua"/>
      </w:pPr>
      <w:r>
        <w:t xml:space="preserve">– </w:t>
      </w:r>
      <w:r w:rsidRPr="00D01CD0">
        <w:t xml:space="preserve">diagnostyka cukrzycy </w:t>
      </w:r>
      <w:proofErr w:type="spellStart"/>
      <w:r w:rsidRPr="00D01CD0">
        <w:t>monogenowej</w:t>
      </w:r>
      <w:proofErr w:type="spellEnd"/>
      <w:r w:rsidRPr="00D01CD0">
        <w:t>;</w:t>
      </w:r>
    </w:p>
    <w:p w14:paraId="50AE3E3C" w14:textId="1860E607" w:rsidR="00D01CD0" w:rsidRPr="00D01CD0" w:rsidRDefault="00D01CD0" w:rsidP="00D01CD0">
      <w:pPr>
        <w:pStyle w:val="NIEARTTEKSTtekstnieartykuowanynppodstprawnarozplubpreambua"/>
      </w:pPr>
      <w:r>
        <w:t xml:space="preserve">– </w:t>
      </w:r>
      <w:r w:rsidRPr="00D01CD0">
        <w:t xml:space="preserve">diagnostyka zaburzeń czynności układu pozapiramidowego w przebiegu schorzeń </w:t>
      </w:r>
      <w:r>
        <w:t xml:space="preserve">– </w:t>
      </w:r>
      <w:r w:rsidRPr="00D01CD0">
        <w:t xml:space="preserve">zwyrodnieniowych ośrodkowego układu nerwowego za pomocą </w:t>
      </w:r>
      <w:proofErr w:type="spellStart"/>
      <w:r w:rsidRPr="00D01CD0">
        <w:t>radiofarmaceutyków</w:t>
      </w:r>
      <w:proofErr w:type="spellEnd"/>
      <w:r w:rsidRPr="00D01CD0">
        <w:t>;</w:t>
      </w:r>
    </w:p>
    <w:p w14:paraId="47966D72" w14:textId="5865463A" w:rsidR="00D01CD0" w:rsidRPr="00D01CD0" w:rsidRDefault="00D01CD0" w:rsidP="00D01CD0">
      <w:pPr>
        <w:pStyle w:val="NIEARTTEKSTtekstnieartykuowanynppodstprawnarozplubpreambua"/>
      </w:pPr>
      <w:r>
        <w:t xml:space="preserve">– </w:t>
      </w:r>
      <w:proofErr w:type="spellStart"/>
      <w:r w:rsidRPr="00D01CD0">
        <w:t>hemodiafiltracja</w:t>
      </w:r>
      <w:proofErr w:type="spellEnd"/>
      <w:r w:rsidRPr="00D01CD0">
        <w:t xml:space="preserve"> (HDF);</w:t>
      </w:r>
    </w:p>
    <w:p w14:paraId="70F18C99" w14:textId="4043F4F0" w:rsidR="00D01CD0" w:rsidRPr="00D01CD0" w:rsidRDefault="00D01CD0" w:rsidP="00D01CD0">
      <w:pPr>
        <w:pStyle w:val="NIEARTTEKSTtekstnieartykuowanynppodstprawnarozplubpreambua"/>
      </w:pPr>
      <w:r>
        <w:t xml:space="preserve">– </w:t>
      </w:r>
      <w:r w:rsidRPr="00D01CD0">
        <w:t>system ciągłego monitorowania glikemii (CGM) u osób z cukrzycą;</w:t>
      </w:r>
    </w:p>
    <w:p w14:paraId="7DABAFC8" w14:textId="4025EABE" w:rsidR="00D01CD0" w:rsidRPr="00D01CD0" w:rsidRDefault="00D01CD0" w:rsidP="00D01CD0">
      <w:pPr>
        <w:pStyle w:val="NIEARTTEKSTtekstnieartykuowanynppodstprawnarozplubpreambua"/>
      </w:pPr>
      <w:r>
        <w:t xml:space="preserve">– </w:t>
      </w:r>
      <w:r w:rsidRPr="00D01CD0">
        <w:t>zastosowanie  znakowanych radioizotopowo peptydów w leczeniu chorych na nieoperacyjne guzy neuroendokrynne</w:t>
      </w:r>
      <w:r w:rsidR="00794739">
        <w:t>.</w:t>
      </w:r>
    </w:p>
    <w:p w14:paraId="5634D8B4" w14:textId="77777777" w:rsidR="00D01CD0" w:rsidRPr="00D01CD0" w:rsidRDefault="00D01CD0" w:rsidP="00D01CD0">
      <w:pPr>
        <w:pStyle w:val="NIEARTTEKSTtekstnieartykuowanynppodstprawnarozplubpreambua"/>
        <w:rPr>
          <w:rStyle w:val="Ppogrubienie"/>
        </w:rPr>
      </w:pPr>
      <w:r w:rsidRPr="00D01CD0">
        <w:rPr>
          <w:rStyle w:val="Ppogrubienie"/>
        </w:rPr>
        <w:t xml:space="preserve">Diagnostyka cukrzycy </w:t>
      </w:r>
      <w:proofErr w:type="spellStart"/>
      <w:r w:rsidRPr="00D01CD0">
        <w:rPr>
          <w:rStyle w:val="Ppogrubienie"/>
        </w:rPr>
        <w:t>monogenowej</w:t>
      </w:r>
      <w:proofErr w:type="spellEnd"/>
    </w:p>
    <w:p w14:paraId="446A5E09" w14:textId="786D390E" w:rsidR="00D01CD0" w:rsidRPr="00D01CD0" w:rsidRDefault="00D01CD0" w:rsidP="00D01CD0">
      <w:pPr>
        <w:pStyle w:val="NIEARTTEKSTtekstnieartykuowanynppodstprawnarozplubpreambua"/>
      </w:pPr>
      <w:r w:rsidRPr="00D01CD0">
        <w:t xml:space="preserve">Wprowadzenie diagnostyki i modyfikacji leczenia pacjentów z cukrzycą </w:t>
      </w:r>
      <w:proofErr w:type="spellStart"/>
      <w:r w:rsidRPr="00D01CD0">
        <w:t>monogenową</w:t>
      </w:r>
      <w:proofErr w:type="spellEnd"/>
      <w:r w:rsidRPr="00D01CD0">
        <w:t xml:space="preserve"> stanowi realizację rekomendacji nr 87/2015 z dnia 6 listopada 2015 r. Prezesa Agencji Oceny Technologii Medycznych i Taryfikacji</w:t>
      </w:r>
      <w:r w:rsidR="000C4C1B">
        <w:t>, zwanej dalej ,,</w:t>
      </w:r>
      <w:proofErr w:type="spellStart"/>
      <w:r w:rsidR="000C4C1B">
        <w:t>AOTMiT</w:t>
      </w:r>
      <w:proofErr w:type="spellEnd"/>
      <w:r w:rsidR="000C4C1B">
        <w:t>",</w:t>
      </w:r>
      <w:r w:rsidRPr="00D01CD0">
        <w:t xml:space="preserve"> w sprawie zakwalifikowania świadczenia "Diagnostyka i modyfikacja leczenia pacjentów z cukrzycą </w:t>
      </w:r>
      <w:proofErr w:type="spellStart"/>
      <w:r w:rsidRPr="00D01CD0">
        <w:t>monogenową</w:t>
      </w:r>
      <w:proofErr w:type="spellEnd"/>
      <w:r w:rsidRPr="00D01CD0">
        <w:t>", w</w:t>
      </w:r>
      <w:r w:rsidR="00875C1E">
        <w:t> </w:t>
      </w:r>
      <w:r w:rsidRPr="00D01CD0">
        <w:t xml:space="preserve">której Prezes </w:t>
      </w:r>
      <w:proofErr w:type="spellStart"/>
      <w:r w:rsidRPr="00D01CD0">
        <w:t>AOTMiT</w:t>
      </w:r>
      <w:proofErr w:type="spellEnd"/>
      <w:r w:rsidR="00794739">
        <w:t>,</w:t>
      </w:r>
      <w:r w:rsidRPr="00D01CD0">
        <w:t xml:space="preserve"> biorąc pod uwagę stanowisko Rady Przejrzystości, a także przedstawione dowody naukowe, uznał za zasadne zakwalifikowanie powyższego świadczenia opieki zdrowotnej, jako świadczenia gwarantowanego z zakresu ambulatoryjnej opieki specjalistycznej.</w:t>
      </w:r>
    </w:p>
    <w:p w14:paraId="3FA667A5" w14:textId="1132C992" w:rsidR="00D01CD0" w:rsidRPr="00D01CD0" w:rsidRDefault="00D01CD0" w:rsidP="00D01CD0">
      <w:pPr>
        <w:pStyle w:val="NIEARTTEKSTtekstnieartykuowanynppodstprawnarozplubpreambua"/>
      </w:pPr>
      <w:r w:rsidRPr="00D01CD0">
        <w:lastRenderedPageBreak/>
        <w:t>Implementacja powyższego świadczenia do wykazu jest zasadna zarówno z klinicznego jak i ekonomicznego punktu widzenia. Dowody naukowe</w:t>
      </w:r>
      <w:r w:rsidR="00794739">
        <w:t>,</w:t>
      </w:r>
      <w:r w:rsidRPr="00D01CD0">
        <w:t xml:space="preserve"> na których oparł się Prezes </w:t>
      </w:r>
      <w:proofErr w:type="spellStart"/>
      <w:r w:rsidRPr="00D01CD0">
        <w:t>AOTMiT</w:t>
      </w:r>
      <w:proofErr w:type="spellEnd"/>
      <w:r w:rsidRPr="00D01CD0">
        <w:t xml:space="preserve"> dla populacji z mutacją w genach ABCC8 oraz KCNJ11 wskazują na uzyskanie efektu terapeutycznego po wykryciu mutacji i zmianie dotychczasowego leczenia. W chwili obecnej w ramach świadczeń finansowanych ze środków publicznych brak jest alternatywnego świadczenia w zakresie diagnostyki cukrzycy </w:t>
      </w:r>
      <w:proofErr w:type="spellStart"/>
      <w:r w:rsidRPr="00D01CD0">
        <w:t>monogenowej</w:t>
      </w:r>
      <w:proofErr w:type="spellEnd"/>
      <w:r w:rsidRPr="00D01CD0">
        <w:t xml:space="preserve">, podczas gdy zgodnie z danymi epidemiologicznymi </w:t>
      </w:r>
      <w:r w:rsidR="001267E7" w:rsidRPr="00D01CD0">
        <w:t>popu</w:t>
      </w:r>
      <w:r w:rsidR="001267E7">
        <w:t>lacja</w:t>
      </w:r>
      <w:r w:rsidR="001267E7" w:rsidRPr="00D01CD0">
        <w:t xml:space="preserve"> </w:t>
      </w:r>
      <w:r w:rsidRPr="00D01CD0">
        <w:t>pacjentów wymagających diagnostyki genetycznej oraz zmiany leczenia w Polsce może obejmować około 5 000 osób.</w:t>
      </w:r>
    </w:p>
    <w:p w14:paraId="6DE2FFC1" w14:textId="21F383C5" w:rsidR="00D01CD0" w:rsidRPr="00D01CD0" w:rsidRDefault="00D01CD0" w:rsidP="00D01CD0">
      <w:pPr>
        <w:pStyle w:val="NIEARTTEKSTtekstnieartykuowanynppodstprawnarozplubpreambua"/>
      </w:pPr>
      <w:r w:rsidRPr="00D01CD0">
        <w:t xml:space="preserve">Świadczenie: "Diagnostyka cukrzycy </w:t>
      </w:r>
      <w:proofErr w:type="spellStart"/>
      <w:r w:rsidRPr="00D01CD0">
        <w:t>monogenowej</w:t>
      </w:r>
      <w:proofErr w:type="spellEnd"/>
      <w:r w:rsidRPr="00D01CD0">
        <w:t xml:space="preserve">" realizuje zatem skonkretyzowaną i niezaspokojoną dotychczas potrzebę zdrowotną, dotyczącą populacji dzieci, które ze względu na brak diagnostyki nie zawsze są dziś leczone </w:t>
      </w:r>
      <w:r w:rsidR="007C7F4F">
        <w:t xml:space="preserve">adekwatnie do przyczyn. </w:t>
      </w:r>
      <w:r w:rsidRPr="00D01CD0">
        <w:t xml:space="preserve">Wprowadzenie powyższego świadczenia zdeterminuje zastosowanie celowanej, efektywnej i tańszej interwencji medycznej, względem insulinoterapii. </w:t>
      </w:r>
    </w:p>
    <w:p w14:paraId="387A6EA6" w14:textId="1612EF11" w:rsidR="00D01CD0" w:rsidRPr="00D01CD0" w:rsidRDefault="00D01CD0" w:rsidP="00D01CD0">
      <w:pPr>
        <w:pStyle w:val="NIEARTTEKSTtekstnieartykuowanynppodstprawnarozplubpreambua"/>
      </w:pPr>
      <w:r w:rsidRPr="00D01CD0">
        <w:t>Powyższy cel będzie osiągnięty przez przeprowadzenie badania genetycznego w</w:t>
      </w:r>
      <w:r w:rsidR="008F44B9">
        <w:t> </w:t>
      </w:r>
      <w:r w:rsidRPr="00D01CD0">
        <w:t xml:space="preserve">ramach świadczenia ambulatoryjnego diagnostycznego oraz przeprowadzenie kolejnych dwóch porad ambulatoryjnych po uzyskaniu wyniku badania genetycznego mających na celu zmianę leczenia z insulinoterapii na leczenie ukierunkowane defektem genetycznym, którym będzie zastosowanie pochodnych </w:t>
      </w:r>
      <w:proofErr w:type="spellStart"/>
      <w:r w:rsidRPr="00D01CD0">
        <w:t>sulfonylomocznika</w:t>
      </w:r>
      <w:proofErr w:type="spellEnd"/>
      <w:r w:rsidRPr="00D01CD0">
        <w:t xml:space="preserve"> lub diety.</w:t>
      </w:r>
    </w:p>
    <w:p w14:paraId="4BF3A08F" w14:textId="5346433F" w:rsidR="00D01CD0" w:rsidRPr="00D01CD0" w:rsidRDefault="00D01CD0" w:rsidP="00D01CD0">
      <w:pPr>
        <w:pStyle w:val="NIEARTTEKSTtekstnieartykuowanynppodstprawnarozplubpreambua"/>
      </w:pPr>
      <w:r w:rsidRPr="00D01CD0">
        <w:t xml:space="preserve">Jednocześnie należy wskazać, że wprowadzenie świadczenia: "Diagnostyka cukrzycy </w:t>
      </w:r>
      <w:proofErr w:type="spellStart"/>
      <w:r w:rsidRPr="00D01CD0">
        <w:t>monogenowej</w:t>
      </w:r>
      <w:proofErr w:type="spellEnd"/>
      <w:r w:rsidRPr="00D01CD0">
        <w:t>", jest ekonomicznie uzasadnion</w:t>
      </w:r>
      <w:r w:rsidR="00AB4795">
        <w:t>e</w:t>
      </w:r>
      <w:r w:rsidRPr="00D01CD0">
        <w:t>, co wyraża się w tym, iż koszt strategii polegającej na przeprowadzeniu badania genetycznego i modyfikacji leczenia u chorych z</w:t>
      </w:r>
      <w:r w:rsidR="008F44B9">
        <w:t> </w:t>
      </w:r>
      <w:r w:rsidRPr="00D01CD0">
        <w:t xml:space="preserve">cukrzycą </w:t>
      </w:r>
      <w:proofErr w:type="spellStart"/>
      <w:r w:rsidRPr="00D01CD0">
        <w:t>monogenową</w:t>
      </w:r>
      <w:proofErr w:type="spellEnd"/>
      <w:r w:rsidRPr="00D01CD0">
        <w:t xml:space="preserve"> jest niższy o ok. 3 tys. zł (z perspektywy płatnika publicznego) oraz o ok. 4,4 tys. zł (z perspektywy płatnika publicznego i pacjenta) w porównaniu ze strategią nieobejmującą diagnostyki genetycznej.</w:t>
      </w:r>
    </w:p>
    <w:p w14:paraId="5C636803" w14:textId="77777777" w:rsidR="00D01CD0" w:rsidRPr="00D01CD0" w:rsidRDefault="00D01CD0" w:rsidP="00D01CD0">
      <w:pPr>
        <w:pStyle w:val="NIEARTTEKSTtekstnieartykuowanynppodstprawnarozplubpreambua"/>
        <w:rPr>
          <w:rStyle w:val="Ppogrubienie"/>
        </w:rPr>
      </w:pPr>
      <w:r w:rsidRPr="00D01CD0">
        <w:rPr>
          <w:rStyle w:val="Ppogrubienie"/>
        </w:rPr>
        <w:t xml:space="preserve">Diagnostyka zaburzeń czynności układu pozapiramidowego w przebiegu schorzeń zwyrodnieniowych ośrodkowego układu nerwowego za pomocą </w:t>
      </w:r>
      <w:proofErr w:type="spellStart"/>
      <w:r w:rsidRPr="00D01CD0">
        <w:rPr>
          <w:rStyle w:val="Ppogrubienie"/>
        </w:rPr>
        <w:t>radiofarmaceutyków</w:t>
      </w:r>
      <w:proofErr w:type="spellEnd"/>
    </w:p>
    <w:p w14:paraId="6C9A21AA" w14:textId="646BA6B3" w:rsidR="00D01CD0" w:rsidRPr="00D01CD0" w:rsidRDefault="00D01CD0" w:rsidP="00D01CD0">
      <w:pPr>
        <w:pStyle w:val="NIEARTTEKSTtekstnieartykuowanynppodstprawnarozplubpreambua"/>
      </w:pPr>
      <w:r w:rsidRPr="00D01CD0">
        <w:t>Wprowadzenie świadczenia do wykazu stanowi realizację rekomendacji nr 168/2013 z dnia 25 listopada 2013 r. Prezesa Agencji Oceny Technologii Medycznych i Taryfikacji, w</w:t>
      </w:r>
      <w:r w:rsidR="00875C1E">
        <w:t> </w:t>
      </w:r>
      <w:r w:rsidRPr="00D01CD0">
        <w:t xml:space="preserve">sprawie zakwalifikowania świadczenia opieki zdrowotnej „diagnostyka zaburzeń czynności układu pozapiramidowego w przebiegu schorzeń zwyrodnieniowych ośrodkowego układu nerwowego za pomocą </w:t>
      </w:r>
      <w:proofErr w:type="spellStart"/>
      <w:r w:rsidRPr="00D01CD0">
        <w:t>radiofarmaceutyków</w:t>
      </w:r>
      <w:proofErr w:type="spellEnd"/>
      <w:r w:rsidRPr="00D01CD0">
        <w:t xml:space="preserve">”,  jako świadczenia gwarantowanego z zakresu ambulatoryjnej opieki specjalistycznej, w badaniu czynności układu dopaminergicznego </w:t>
      </w:r>
      <w:r w:rsidRPr="00D01CD0">
        <w:lastRenderedPageBreak/>
        <w:t>mózgowia za pomocą 123I-FP-CIT (</w:t>
      </w:r>
      <w:proofErr w:type="spellStart"/>
      <w:r w:rsidRPr="00D01CD0">
        <w:t>DaTSCAN</w:t>
      </w:r>
      <w:proofErr w:type="spellEnd"/>
      <w:r w:rsidRPr="00D01CD0">
        <w:t>®) SPECT, u chorych z niejednoznacznym obrazem klinicznym choroby Parkinsona.</w:t>
      </w:r>
    </w:p>
    <w:p w14:paraId="700A6A25" w14:textId="10E717DE" w:rsidR="00D01CD0" w:rsidRPr="00D01CD0" w:rsidRDefault="00D01CD0" w:rsidP="00D01CD0">
      <w:pPr>
        <w:pStyle w:val="NIEARTTEKSTtekstnieartykuowanynppodstprawnarozplubpreambua"/>
      </w:pPr>
      <w:r w:rsidRPr="00D01CD0">
        <w:t xml:space="preserve">Implementacja powyższego świadczenia do wykazu jest zasadna przede wszystkim z klinicznego punktu widzenia. Minister Zdrowia, przychylając się do opinii Prezesa </w:t>
      </w:r>
      <w:proofErr w:type="spellStart"/>
      <w:r w:rsidRPr="00D01CD0">
        <w:t>A</w:t>
      </w:r>
      <w:r w:rsidR="001267E7">
        <w:t>OTMiT</w:t>
      </w:r>
      <w:proofErr w:type="spellEnd"/>
      <w:r w:rsidRPr="00D01CD0">
        <w:t xml:space="preserve"> uważa za zasadne finansowanie badania czynności układu dopaminergicznego mózgowia za pomocą 123I-FP-CIT (</w:t>
      </w:r>
      <w:proofErr w:type="spellStart"/>
      <w:r w:rsidRPr="00D01CD0">
        <w:t>DaTSCAN</w:t>
      </w:r>
      <w:proofErr w:type="spellEnd"/>
      <w:r w:rsidRPr="00D01CD0">
        <w:t>®) SPECT, u chorych z niejednoznacznym obrazem klinicznym choroby Parkinsona.</w:t>
      </w:r>
    </w:p>
    <w:p w14:paraId="5A970327" w14:textId="77777777" w:rsidR="00D01CD0" w:rsidRPr="00D01CD0" w:rsidRDefault="00D01CD0" w:rsidP="00D01CD0">
      <w:pPr>
        <w:pStyle w:val="NIEARTTEKSTtekstnieartykuowanynppodstprawnarozplubpreambua"/>
      </w:pPr>
      <w:r w:rsidRPr="00D01CD0">
        <w:t>Diagnostyka różnicowa parkinsonizmów zwyrodnieniowych u pacjentów z klinicznie niejednoznacznym obrazem wykazała, iż przedmiotowa technologia jest wysoce przydatna w ocenie klinicznej prawdopodobieństwa istnienia parkinsonizmu zwyrodnieniowego wśród pacjentów z niejednoznacznym obrazem klinicznym choroby Parkinsona w badaniu podmiotowym i przedmiotowym. Zagraniczne towarzystwa naukowe oraz eksperci kliniczni rekomendują stosowanie badania 123I-FP-CIT (</w:t>
      </w:r>
      <w:proofErr w:type="spellStart"/>
      <w:r w:rsidRPr="00D01CD0">
        <w:t>DaTSCAN</w:t>
      </w:r>
      <w:proofErr w:type="spellEnd"/>
      <w:r w:rsidRPr="00D01CD0">
        <w:t>®) SPECT u chorych z niejednoznacznym obrazem klinicznym choroby Parkinsona. Zdaniem ekspertów badanie 123I-FP-CIT (</w:t>
      </w:r>
      <w:proofErr w:type="spellStart"/>
      <w:r w:rsidRPr="00D01CD0">
        <w:t>DaTSCAN</w:t>
      </w:r>
      <w:proofErr w:type="spellEnd"/>
      <w:r w:rsidRPr="00D01CD0">
        <w:t xml:space="preserve">®) SPECT będzie stanowić rozszerzenie możliwości diagnostycznych w szczególnie trudnych przypadkach i będzie wykonywane wówczas, gdy podstawowe testy diagnostyczne nie pozwolą na postawienie jednoznacznej diagnozy. </w:t>
      </w:r>
    </w:p>
    <w:p w14:paraId="6E60D6CB" w14:textId="53AF4058" w:rsidR="00D01CD0" w:rsidRPr="00D01CD0" w:rsidRDefault="00D01CD0" w:rsidP="00D01CD0">
      <w:pPr>
        <w:pStyle w:val="NIEARTTEKSTtekstnieartykuowanynppodstprawnarozplubpreambua"/>
      </w:pPr>
      <w:r w:rsidRPr="00D01CD0">
        <w:t>Badanie 123I-FP-CIT (</w:t>
      </w:r>
      <w:proofErr w:type="spellStart"/>
      <w:r w:rsidRPr="00D01CD0">
        <w:t>DaTSCAN</w:t>
      </w:r>
      <w:proofErr w:type="spellEnd"/>
      <w:r w:rsidRPr="00D01CD0">
        <w:t xml:space="preserve">®) SPECT jest metodą z dziedziny medycyny nuklearnej, w której wykorzystuje się promieniowanie gamma do obrazowania rozmieszczenia radioizotopu w badanym narządzie. </w:t>
      </w:r>
      <w:proofErr w:type="spellStart"/>
      <w:r w:rsidRPr="00D01CD0">
        <w:t>DaTSCAN</w:t>
      </w:r>
      <w:proofErr w:type="spellEnd"/>
      <w:r w:rsidRPr="00D01CD0">
        <w:t xml:space="preserve">® zawiera substancję czynną </w:t>
      </w:r>
      <w:proofErr w:type="spellStart"/>
      <w:r w:rsidRPr="00D01CD0">
        <w:t>joflupane</w:t>
      </w:r>
      <w:proofErr w:type="spellEnd"/>
      <w:r w:rsidRPr="00D01CD0">
        <w:t xml:space="preserve">, która jest wyznakowana radioaktywną postacią jodu - 123I. </w:t>
      </w:r>
      <w:proofErr w:type="spellStart"/>
      <w:r w:rsidRPr="00D01CD0">
        <w:t>Joflupane</w:t>
      </w:r>
      <w:proofErr w:type="spellEnd"/>
      <w:r w:rsidRPr="00D01CD0">
        <w:t xml:space="preserve"> wiąże się swoiście ze strukturami na powierzchni zakończeń komórek nerwowych w </w:t>
      </w:r>
      <w:proofErr w:type="spellStart"/>
      <w:r w:rsidRPr="00D01CD0">
        <w:t>prążkowiu</w:t>
      </w:r>
      <w:proofErr w:type="spellEnd"/>
      <w:r w:rsidRPr="00D01CD0">
        <w:t xml:space="preserve"> odpowiedzialnymi za transport dopaminy. Po wstrzyknięciu preparatu </w:t>
      </w:r>
      <w:proofErr w:type="spellStart"/>
      <w:r w:rsidRPr="00D01CD0">
        <w:t>DaTSCAN</w:t>
      </w:r>
      <w:proofErr w:type="spellEnd"/>
      <w:r w:rsidRPr="00D01CD0">
        <w:t>® wykonuje się badanie obrazowe metodą SPECT celem oceny zdolności gromadzenia dopaminy w mózg. Badanie 123I-FP-CIT (</w:t>
      </w:r>
      <w:proofErr w:type="spellStart"/>
      <w:r w:rsidRPr="00D01CD0">
        <w:t>DaTSCAN</w:t>
      </w:r>
      <w:proofErr w:type="spellEnd"/>
      <w:r w:rsidRPr="00D01CD0">
        <w:t xml:space="preserve">®) SPECT jest pomocne w różnicowaniu choroby Parkinsona względem drżenia samoistnego oraz innych chorób otępiennych. </w:t>
      </w:r>
    </w:p>
    <w:p w14:paraId="141D0B9B" w14:textId="47211B65" w:rsidR="00D01CD0" w:rsidRPr="00D01CD0" w:rsidRDefault="00D01CD0" w:rsidP="00D01CD0">
      <w:pPr>
        <w:pStyle w:val="NIEARTTEKSTtekstnieartykuowanynppodstprawnarozplubpreambua"/>
      </w:pPr>
      <w:bookmarkStart w:id="1" w:name="_gjdgxs" w:colFirst="0" w:colLast="0"/>
      <w:bookmarkEnd w:id="1"/>
      <w:r w:rsidRPr="00D01CD0">
        <w:t xml:space="preserve">European </w:t>
      </w:r>
      <w:proofErr w:type="spellStart"/>
      <w:r w:rsidRPr="00D01CD0">
        <w:t>Federation</w:t>
      </w:r>
      <w:proofErr w:type="spellEnd"/>
      <w:r w:rsidRPr="00D01CD0">
        <w:t xml:space="preserve"> of </w:t>
      </w:r>
      <w:proofErr w:type="spellStart"/>
      <w:r w:rsidRPr="00D01CD0">
        <w:t>Neurological</w:t>
      </w:r>
      <w:proofErr w:type="spellEnd"/>
      <w:r w:rsidRPr="00D01CD0">
        <w:t xml:space="preserve"> </w:t>
      </w:r>
      <w:proofErr w:type="spellStart"/>
      <w:r w:rsidRPr="00D01CD0">
        <w:t>Societies</w:t>
      </w:r>
      <w:proofErr w:type="spellEnd"/>
      <w:r w:rsidRPr="00D01CD0">
        <w:t xml:space="preserve"> (EFNS) w ocenie klinicznej pacjentów rekomenduje stosowanie kryteriów diagnostycznych QSBB (ang. </w:t>
      </w:r>
      <w:proofErr w:type="spellStart"/>
      <w:r w:rsidRPr="00D01CD0">
        <w:t>Queen</w:t>
      </w:r>
      <w:proofErr w:type="spellEnd"/>
      <w:r w:rsidRPr="00D01CD0">
        <w:t xml:space="preserve"> </w:t>
      </w:r>
      <w:proofErr w:type="spellStart"/>
      <w:r w:rsidRPr="00D01CD0">
        <w:t>Square</w:t>
      </w:r>
      <w:proofErr w:type="spellEnd"/>
      <w:r w:rsidRPr="00D01CD0">
        <w:t xml:space="preserve"> Brain Bank) (poziom B). Badanie węchu jest rekomendowane przez EFNS w diagnostyce różnicowej choroby Parkinsona i atypowego bądź wtórnego parkinsonizmu, oraz w diagnostyce recesywnej postaci choroby Parkinsona (poziom A). Do badań obrazowych rekomendowanych przez EFNS zaliczane są przezczaszkowa ultrasonografia (TCS) oraz rezonans magnetyczny </w:t>
      </w:r>
      <w:r w:rsidRPr="00D01CD0">
        <w:lastRenderedPageBreak/>
        <w:t>(MRI). Badanie TCS rekomendowane jest w diagnostyce różnicowej choroby Parkinsona i atypowego bądź wtórnego parkinsonizmu, we wczesnej diagnozie choroby Parkinsona oraz do identyfikowania osób z grupy ryzyka zachorowania na chorobę Parkinsona (poziom A). Badanie MRI jest rekomendowane przez EFNS w celu wykluczenia objawowego parkinsonizmu powodowanego innymi patologiami (poziom B) oraz w diagnostyce różnicowej choroby Parkinsona i parkinsonizmu atypowego - zaniku wieloukładowego (poziom A) i postępującego porażenia nadjądrowego (poziom B).</w:t>
      </w:r>
      <w:r w:rsidR="00D14075">
        <w:t xml:space="preserve"> </w:t>
      </w:r>
      <w:r w:rsidRPr="00D01CD0">
        <w:t>Wykazano, iż stosowanie 123I-FP-CIT (</w:t>
      </w:r>
      <w:proofErr w:type="spellStart"/>
      <w:r w:rsidRPr="00D01CD0">
        <w:t>DaTSCAN</w:t>
      </w:r>
      <w:proofErr w:type="spellEnd"/>
      <w:r w:rsidRPr="00D01CD0">
        <w:t>®) SPECT jest bezpieczną technologią diagnostyczną, która nie powoduje ciężkich działań niepożądanych ani zgonów. Inne działania niepożądane występują stosunkowo rzadko, a charakter ich nasilenia jest łagodny.</w:t>
      </w:r>
    </w:p>
    <w:p w14:paraId="3952F57A" w14:textId="77777777" w:rsidR="00D01CD0" w:rsidRPr="00D01CD0" w:rsidRDefault="00D01CD0" w:rsidP="00D01CD0">
      <w:pPr>
        <w:pStyle w:val="NIEARTTEKSTtekstnieartykuowanynppodstprawnarozplubpreambua"/>
      </w:pPr>
      <w:r w:rsidRPr="00D01CD0">
        <w:tab/>
        <w:t xml:space="preserve">Całkowity koszt procedury, uwzględniający koszt testu SPECT oraz koszt </w:t>
      </w:r>
      <w:proofErr w:type="spellStart"/>
      <w:r w:rsidRPr="00D01CD0">
        <w:t>radiofarmaceutyku</w:t>
      </w:r>
      <w:proofErr w:type="spellEnd"/>
      <w:r w:rsidRPr="00D01CD0">
        <w:t xml:space="preserve">, wynosi 6 357,10 zł. Całkowity koszt badania PET wraz z kosztem </w:t>
      </w:r>
      <w:proofErr w:type="spellStart"/>
      <w:r w:rsidRPr="00D01CD0">
        <w:t>radiofarmaceutyku</w:t>
      </w:r>
      <w:proofErr w:type="spellEnd"/>
      <w:r w:rsidRPr="00D01CD0">
        <w:t xml:space="preserve"> wynosi 10 100 zł. Średni koszt leczenia farmakologicznego w perspektywie rocznej przyjęty w analizie z perspektywy płatnika publicznego to 708,17 zł. Średni koszt porady w poradni neurologicznej rozumiany jako ocena kliniczna w kierunku rozpoznania choroby Parkinsona przyjęto na poziomie 31,15 zł. Natomiast koszt terapii farmakologicznej z perspektywy łącznej płatnika i pacjenta wynosi 912,96 zł. </w:t>
      </w:r>
    </w:p>
    <w:p w14:paraId="3EA01DB1" w14:textId="76A4BEB5" w:rsidR="00D01CD0" w:rsidRPr="00D01CD0" w:rsidRDefault="00D01CD0" w:rsidP="00D01CD0">
      <w:pPr>
        <w:pStyle w:val="NIEARTTEKSTtekstnieartykuowanynppodstprawnarozplubpreambua"/>
      </w:pPr>
      <w:r w:rsidRPr="00D01CD0">
        <w:tab/>
        <w:t xml:space="preserve">Analiza kosztów wskazuje, że wnioskowane procedury diagnostyczne, głównie z uwagi na stosunkowo wysoki koszt </w:t>
      </w:r>
      <w:proofErr w:type="spellStart"/>
      <w:r w:rsidRPr="00D01CD0">
        <w:t>radioznacznika</w:t>
      </w:r>
      <w:proofErr w:type="spellEnd"/>
      <w:r w:rsidRPr="00D01CD0">
        <w:t xml:space="preserve"> w sposób istotny zwiększają koszty dla płatnika związane z postawieniem diagnozy w kierunku choroby Parkinsona. Jednak ich stosowanie może pozwolić na</w:t>
      </w:r>
      <w:r w:rsidR="006D0C4B">
        <w:t xml:space="preserve"> </w:t>
      </w:r>
      <w:r w:rsidRPr="00D01CD0">
        <w:t xml:space="preserve">uniknięcie nieprawidłowego leczenia pacjenta, a tym samym zmniejszyć koszty płatnika publicznego związane z leczeniem farmakologicznym pacjentów poddanych terapii </w:t>
      </w:r>
      <w:proofErr w:type="spellStart"/>
      <w:r w:rsidRPr="00D01CD0">
        <w:t>przeciwparkinsonowej</w:t>
      </w:r>
      <w:proofErr w:type="spellEnd"/>
      <w:r w:rsidRPr="00D01CD0">
        <w:t>, którzy zostali błędnie zdiagnozowani i nie mają choroby Parkinsona.</w:t>
      </w:r>
    </w:p>
    <w:p w14:paraId="1F9FD702" w14:textId="77777777" w:rsidR="00D01CD0" w:rsidRPr="00D01CD0" w:rsidRDefault="00D01CD0" w:rsidP="00D01CD0">
      <w:pPr>
        <w:pStyle w:val="NIEARTTEKSTtekstnieartykuowanynppodstprawnarozplubpreambua"/>
        <w:rPr>
          <w:rStyle w:val="Ppogrubienie"/>
        </w:rPr>
      </w:pPr>
      <w:proofErr w:type="spellStart"/>
      <w:r w:rsidRPr="00D01CD0">
        <w:rPr>
          <w:rStyle w:val="Ppogrubienie"/>
        </w:rPr>
        <w:t>Hemodiafiltracja</w:t>
      </w:r>
      <w:proofErr w:type="spellEnd"/>
    </w:p>
    <w:p w14:paraId="52083B0C" w14:textId="0C8B5646" w:rsidR="00D01CD0" w:rsidRPr="00D01CD0" w:rsidRDefault="00D01CD0" w:rsidP="00D01CD0">
      <w:pPr>
        <w:pStyle w:val="NIEARTTEKSTtekstnieartykuowanynppodstprawnarozplubpreambua"/>
      </w:pPr>
      <w:r w:rsidRPr="00D01CD0">
        <w:t>Wprowadzenie powyższego świadczenia do wykazu stanowi realizację rekomendacji nr 50/2013 z dnia 29 kwietnia 2013 r. Prezesa Agencji Oceny Technologii Medycznych</w:t>
      </w:r>
      <w:r w:rsidR="000C4C1B" w:rsidRPr="000C4C1B">
        <w:t xml:space="preserve"> </w:t>
      </w:r>
      <w:r w:rsidR="000C4C1B" w:rsidRPr="00D01CD0">
        <w:t>i</w:t>
      </w:r>
      <w:r w:rsidR="00875C1E">
        <w:t> </w:t>
      </w:r>
      <w:r w:rsidR="000C4C1B" w:rsidRPr="00D01CD0">
        <w:t>Taryfikacji</w:t>
      </w:r>
      <w:r w:rsidR="007C7F4F">
        <w:t xml:space="preserve"> </w:t>
      </w:r>
      <w:r w:rsidRPr="00D01CD0">
        <w:t>w sprawie zakwalifikowania świadczenia opieki zdrowotnej „</w:t>
      </w:r>
      <w:proofErr w:type="spellStart"/>
      <w:r w:rsidRPr="00D01CD0">
        <w:t>Hemodiafiltracja</w:t>
      </w:r>
      <w:proofErr w:type="spellEnd"/>
      <w:r w:rsidRPr="00D01CD0">
        <w:t xml:space="preserve"> (HDF)”, jako świadczenia gwarantowanego, w zakresie ambulatoryjnej opieki specjalistycznej i leczenia szpitalnego. </w:t>
      </w:r>
    </w:p>
    <w:p w14:paraId="20CE149A" w14:textId="58797EDD" w:rsidR="00D01CD0" w:rsidRPr="00D01CD0" w:rsidRDefault="00D01CD0" w:rsidP="00D01CD0">
      <w:pPr>
        <w:pStyle w:val="NIEARTTEKSTtekstnieartykuowanynppodstprawnarozplubpreambua"/>
      </w:pPr>
      <w:r w:rsidRPr="00D01CD0">
        <w:t xml:space="preserve">Implementacja powyższego świadczenia do wykazu jest zasadna przede wszystkim z klinicznego punktu widzenia. Zgromadzone przez Prezesa </w:t>
      </w:r>
      <w:proofErr w:type="spellStart"/>
      <w:r w:rsidR="006D0C4B">
        <w:t>AOTMiT</w:t>
      </w:r>
      <w:proofErr w:type="spellEnd"/>
      <w:r w:rsidR="006D0C4B" w:rsidRPr="00D01CD0">
        <w:t xml:space="preserve"> </w:t>
      </w:r>
      <w:r w:rsidRPr="00D01CD0">
        <w:t xml:space="preserve">dane wskazują </w:t>
      </w:r>
      <w:r w:rsidRPr="00D01CD0">
        <w:lastRenderedPageBreak/>
        <w:t xml:space="preserve">na zmniejszenie śmiertelności, poprawę parametrów adekwatności dializoterapii, poprawę jakości życia pacjentów, zmniejszenie ilości zdarzeń niepożądanych w postaci powikłań ostrych i przewlekłych w trakcie stosowania </w:t>
      </w:r>
      <w:proofErr w:type="spellStart"/>
      <w:r w:rsidRPr="00D01CD0">
        <w:t>hemodiafiltracji</w:t>
      </w:r>
      <w:proofErr w:type="spellEnd"/>
      <w:r w:rsidRPr="00D01CD0">
        <w:t xml:space="preserve"> (HDF). Jednocześnie opinie ekspertów i praktyka kliniczna w wielu krajach pozwalają na wnioskowanie, że finansowanie HDF ze środków publicznych przyczyni się do poprawy opieki nad pacjentami z przewlekłą niewydolnością nerek.</w:t>
      </w:r>
    </w:p>
    <w:p w14:paraId="1CF9183C" w14:textId="034596A6" w:rsidR="00D01CD0" w:rsidRPr="00D01CD0" w:rsidRDefault="00D01CD0" w:rsidP="00D01CD0">
      <w:pPr>
        <w:pStyle w:val="NIEARTTEKSTtekstnieartykuowanynppodstprawnarozplubpreambua"/>
      </w:pPr>
      <w:r w:rsidRPr="00D01CD0">
        <w:t xml:space="preserve">Umożliwienie dostępności do </w:t>
      </w:r>
      <w:proofErr w:type="spellStart"/>
      <w:r w:rsidRPr="00D01CD0">
        <w:t>hemodiafiltracji</w:t>
      </w:r>
      <w:proofErr w:type="spellEnd"/>
      <w:r w:rsidRPr="00D01CD0">
        <w:t xml:space="preserve"> jest odpowiedzią na konkretną potrzebę zdrowotną dotyczącą dużej populacji pacjentów. Wprowadzenie powyższego świadczenia do wykazu umożliwi zastosowanie celowanej, i przez to efektywnej, interwencji medycznej. Liczba pacjentów hemodializowanych przyrasta o ok. 600 osób rocznie. Z danych otrzymanych od publicznego płatnika świadczeń wynika, że świadczenie hemodializy w 2012 r. rozliczono u prawie 30,5 tys. pacjentów z przewlekłą chorobą nerek (</w:t>
      </w:r>
      <w:proofErr w:type="spellStart"/>
      <w:r w:rsidRPr="00D01CD0">
        <w:t>PChN</w:t>
      </w:r>
      <w:proofErr w:type="spellEnd"/>
      <w:r w:rsidRPr="00D01CD0">
        <w:t xml:space="preserve">), w tym 10,6 tys. z rozpoznaniem N18 przewlekła niewydolność nerek i 14,5 tys. z rozpoznaniem N18.0 schyłkowa niewydolność nerek. </w:t>
      </w:r>
    </w:p>
    <w:p w14:paraId="1B2389CB" w14:textId="77777777" w:rsidR="00D01CD0" w:rsidRPr="00D01CD0" w:rsidRDefault="00D01CD0" w:rsidP="00D01CD0">
      <w:pPr>
        <w:pStyle w:val="NIEARTTEKSTtekstnieartykuowanynppodstprawnarozplubpreambua"/>
      </w:pPr>
      <w:r w:rsidRPr="00D01CD0">
        <w:t>Świadczenie gwarantowane „</w:t>
      </w:r>
      <w:proofErr w:type="spellStart"/>
      <w:r w:rsidRPr="00D01CD0">
        <w:t>Hemodiafiltracja</w:t>
      </w:r>
      <w:proofErr w:type="spellEnd"/>
      <w:r w:rsidRPr="00D01CD0">
        <w:t xml:space="preserve"> (HDF)” będzie miało zastosowanie w populacji chorych ze schyłkową niewydolnością nerek ze współistniejącą niestabilnością hemodynamiczną z dominującymi objawami hipotensji </w:t>
      </w:r>
      <w:proofErr w:type="spellStart"/>
      <w:r w:rsidRPr="00D01CD0">
        <w:t>śróddializacyjnej</w:t>
      </w:r>
      <w:proofErr w:type="spellEnd"/>
      <w:r w:rsidRPr="00D01CD0">
        <w:t xml:space="preserve"> lub źle kontrolowanym nadciśnieniem tętniczym objętościowo-zależnym, lub </w:t>
      </w:r>
      <w:proofErr w:type="spellStart"/>
      <w:r w:rsidRPr="00D01CD0">
        <w:t>amyloidozą</w:t>
      </w:r>
      <w:proofErr w:type="spellEnd"/>
      <w:r w:rsidRPr="00D01CD0">
        <w:t>, lub ciążą, pod warunkiem osiągnięcia w ciągu miesiąca objętości konwekcji krwi &gt;20 l na sesję HDF.</w:t>
      </w:r>
    </w:p>
    <w:p w14:paraId="3D69FBF9" w14:textId="4804D068" w:rsidR="00D01CD0" w:rsidRPr="00D01CD0" w:rsidRDefault="00D01CD0" w:rsidP="00D01CD0">
      <w:pPr>
        <w:pStyle w:val="NIEARTTEKSTtekstnieartykuowanynppodstprawnarozplubpreambua"/>
      </w:pPr>
      <w:r w:rsidRPr="00D01CD0">
        <w:t xml:space="preserve">Dodatkowym argumentem przemawiającym za kwalifikacją przedmiotowego świadczenia do wykazu jest fakt, że w badaniach, na których oparł się Prezes </w:t>
      </w:r>
      <w:proofErr w:type="spellStart"/>
      <w:r w:rsidRPr="00D01CD0">
        <w:t>A</w:t>
      </w:r>
      <w:r w:rsidR="006D0C4B">
        <w:t>OTMiT</w:t>
      </w:r>
      <w:proofErr w:type="spellEnd"/>
      <w:r w:rsidRPr="00D01CD0">
        <w:t xml:space="preserve"> w swojej rekomendacji, zanotowano o 10-35% niższą śmiertelność w kohortach leczonych HDF w porównaniu z leczonymi metodą hemodializy HD w ww. populacji chorych. Z uwagi na porównywalny koszt </w:t>
      </w:r>
      <w:proofErr w:type="spellStart"/>
      <w:r w:rsidRPr="00D01CD0">
        <w:t>hemodiafiltracji</w:t>
      </w:r>
      <w:proofErr w:type="spellEnd"/>
      <w:r w:rsidRPr="00D01CD0">
        <w:t xml:space="preserve"> względem hemodializy, metoda ta stanowi alternatywną technologię medyczną, która może przynieść większe korzyści zdrowotne przy porównywalnych kosztach.</w:t>
      </w:r>
    </w:p>
    <w:p w14:paraId="25F46762" w14:textId="77777777" w:rsidR="00D01CD0" w:rsidRPr="00D01CD0" w:rsidRDefault="00D01CD0" w:rsidP="00D01CD0">
      <w:pPr>
        <w:pStyle w:val="NIEARTTEKSTtekstnieartykuowanynppodstprawnarozplubpreambua"/>
        <w:rPr>
          <w:rStyle w:val="Ppogrubienie"/>
        </w:rPr>
      </w:pPr>
      <w:r w:rsidRPr="00D01CD0">
        <w:rPr>
          <w:rStyle w:val="Ppogrubienie"/>
        </w:rPr>
        <w:t>Ciągłe monitorowanie glikemii</w:t>
      </w:r>
    </w:p>
    <w:p w14:paraId="2C2EF1F8" w14:textId="7BBC03BD" w:rsidR="00D01CD0" w:rsidRPr="00D01CD0" w:rsidRDefault="00D01CD0" w:rsidP="00D01CD0">
      <w:pPr>
        <w:pStyle w:val="NIEARTTEKSTtekstnieartykuowanynppodstprawnarozplubpreambua"/>
      </w:pPr>
      <w:r w:rsidRPr="00D01CD0">
        <w:t xml:space="preserve">Wprowadzenie diagnostyki i modyfikacji leczenia dzieci i młodzieży z cukrzycą typu </w:t>
      </w:r>
      <w:r w:rsidR="008F44B9">
        <w:t>1 </w:t>
      </w:r>
      <w:r w:rsidRPr="00D01CD0">
        <w:t xml:space="preserve">stanowi realizację rekomendacji nr 81/2015 z dnia 22 października 2015 r. Prezesa </w:t>
      </w:r>
      <w:proofErr w:type="spellStart"/>
      <w:r w:rsidR="007C7F4F">
        <w:t>AOTMiT</w:t>
      </w:r>
      <w:proofErr w:type="spellEnd"/>
      <w:r w:rsidR="007C7F4F">
        <w:t xml:space="preserve"> </w:t>
      </w:r>
      <w:r w:rsidRPr="00D01CD0">
        <w:t>w sprawie zakwalifikowania świadczenia opieki zdrowotnej „System ciągłego monitorowania glikemii w czasie rzeczywistym (CGM-RT)” jako świadczenia gwarantowanego stosowanego w populacji dzieci z cukrzycą typu 1</w:t>
      </w:r>
      <w:r w:rsidR="008F44B9">
        <w:t> </w:t>
      </w:r>
      <w:r w:rsidRPr="00D01CD0">
        <w:t xml:space="preserve">leczonych przy pomocy pompy insulinowej, </w:t>
      </w:r>
      <w:r w:rsidRPr="00D01CD0">
        <w:lastRenderedPageBreak/>
        <w:t>z</w:t>
      </w:r>
      <w:r w:rsidR="00875C1E">
        <w:t> </w:t>
      </w:r>
      <w:r w:rsidRPr="00D01CD0">
        <w:t xml:space="preserve">nieświadomością hipoglikemii (brakiem objawów </w:t>
      </w:r>
      <w:proofErr w:type="spellStart"/>
      <w:r w:rsidRPr="00D01CD0">
        <w:t>prodromalnych</w:t>
      </w:r>
      <w:proofErr w:type="spellEnd"/>
      <w:r w:rsidRPr="00D01CD0">
        <w:t xml:space="preserve"> hipoglikemii z wykluczeniem hipoglikemii poalkoholowej) z odpłatnością 30%, w której Prezes </w:t>
      </w:r>
      <w:proofErr w:type="spellStart"/>
      <w:r w:rsidRPr="00D01CD0">
        <w:t>AOTMiT</w:t>
      </w:r>
      <w:proofErr w:type="spellEnd"/>
      <w:r w:rsidRPr="00D01CD0">
        <w:t xml:space="preserve"> biorąc pod uwagę stanowisko Rady Przejrzystości, a także przedstawione dowody naukowe, uznał za zasadne zakwalifikowanie powyższego świadczenia opieki zdrowotnej, jako świadczenia gwarantowanego z zakresu ambulatoryjnej opieki specjalistycznej.</w:t>
      </w:r>
    </w:p>
    <w:p w14:paraId="200588FE" w14:textId="77777777" w:rsidR="00D01CD0" w:rsidRPr="00D01CD0" w:rsidRDefault="00D01CD0" w:rsidP="00D01CD0">
      <w:pPr>
        <w:pStyle w:val="NIEARTTEKSTtekstnieartykuowanynppodstprawnarozplubpreambua"/>
      </w:pPr>
      <w:r w:rsidRPr="00D01CD0">
        <w:t xml:space="preserve">Implementacja powyższego świadczenia do wykazu jest zasadna przede wszystkim z klinicznego punktu widzenia. Umożliwienie dostępności do świadczeń zdrowotnych będzie miało przede wszystkim wpływ na redukcję epizodów hipoglikemii, które w ciężkich przypadkach, bezpośrednio zagrażają życiu chorego. Powyższa redukcja epizodów hipoglikemii, pod względem liczby lub czasu ich trwania, może przekładać się na zmianę w jakości życia pacjentów, u których występują epizody hipoglikemii. </w:t>
      </w:r>
    </w:p>
    <w:p w14:paraId="0F654035" w14:textId="77777777" w:rsidR="00D01CD0" w:rsidRPr="00D01CD0" w:rsidRDefault="00D01CD0" w:rsidP="00D01CD0">
      <w:pPr>
        <w:pStyle w:val="NIEARTTEKSTtekstnieartykuowanynppodstprawnarozplubpreambua"/>
      </w:pPr>
      <w:r w:rsidRPr="00D01CD0">
        <w:t>Świadczenie gwarantowane „System ciągłego monitorowania glikemii w czasie rzeczywistym (CGM-RT)” ma mieć zastosowanie w szczególnie sparametryzowanej populacji: dzieci i młodzieży z cukrzycą typu 1 do 26 roku życia, u których utrzymują się podwyższone wartości HbA1c &gt;6,5% i &lt;9,0%. pomimo intensyfikacji leczenia u pacjenta dobrze wyedukowanego w zakresie zasad intensywnej czynnościowej insulinoterapii, współpracującego z zespołem diabetologicznym oraz przestrzegającego zasad samokontroli. Przewiduje się bezpłatne dostarczenie nadajnika, 10% wysokość udziału własnego świadczeniobiorcy w limicie finansowania transmitera 30% wysokość takiego udziału w limicie finansowania sensorów.</w:t>
      </w:r>
    </w:p>
    <w:p w14:paraId="3A5CF31E" w14:textId="4BEA63C6" w:rsidR="00D01CD0" w:rsidRPr="00D01CD0" w:rsidRDefault="00D01CD0" w:rsidP="00D01CD0">
      <w:pPr>
        <w:pStyle w:val="NIEARTTEKSTtekstnieartykuowanynppodstprawnarozplubpreambua"/>
      </w:pPr>
      <w:r w:rsidRPr="00D01CD0">
        <w:t xml:space="preserve">Ciągłe monitorowanie glikemii przez wpływ na kontrolę stężenia glukozy może wspierać zapobieganie występowania poważnych hipoglikemii w ww. grupie chorych, co w konsekwencji przełoży się na jakość życia pacjenta. </w:t>
      </w:r>
    </w:p>
    <w:p w14:paraId="1AE792C7" w14:textId="77777777" w:rsidR="00D01CD0" w:rsidRPr="00D01CD0" w:rsidRDefault="00D01CD0" w:rsidP="00D01CD0">
      <w:pPr>
        <w:pStyle w:val="NIEARTTEKSTtekstnieartykuowanynppodstprawnarozplubpreambua"/>
      </w:pPr>
      <w:r w:rsidRPr="00D01CD0">
        <w:t>Przewlekła hiperglikemia w cukrzycy powoduje uszkodzenie lub zaburzenia czynności i niewydolności narządów, szczególnie oczu, nerek, nerwów, serca i naczyń krwionośnych. Hipoglikemia może prowadzić do trwałych i rozległych uszkodzeń ośrodkowego układu nerwowego a nawet do śmierci. Umożliwienie dostępu do świadczenia gwarantowanego dedykowanego powyższej populacji pacjentów, ma na celu zapobieganie stanom hipoglikemii.</w:t>
      </w:r>
    </w:p>
    <w:p w14:paraId="40F69DB5" w14:textId="77777777" w:rsidR="00D01CD0" w:rsidRPr="00D01CD0" w:rsidRDefault="00D01CD0" w:rsidP="00D01CD0">
      <w:pPr>
        <w:pStyle w:val="NIEARTTEKSTtekstnieartykuowanynppodstprawnarozplubpreambua"/>
      </w:pPr>
      <w:r w:rsidRPr="00D01CD0">
        <w:t xml:space="preserve">Alternatywną technologią medyczną dla wnioskowanej technologii jest samodzielne monitorowanie poziomu glukozy we krwi przez pacjenta za pomocą </w:t>
      </w:r>
      <w:proofErr w:type="spellStart"/>
      <w:r w:rsidRPr="00D01CD0">
        <w:t>glukometru</w:t>
      </w:r>
      <w:proofErr w:type="spellEnd"/>
      <w:r w:rsidRPr="00D01CD0">
        <w:t xml:space="preserve"> - SMBG (</w:t>
      </w:r>
      <w:proofErr w:type="spellStart"/>
      <w:r w:rsidRPr="00D01CD0">
        <w:t>Self</w:t>
      </w:r>
      <w:proofErr w:type="spellEnd"/>
      <w:r w:rsidRPr="00D01CD0">
        <w:t xml:space="preserve">-Monitoring of Blood </w:t>
      </w:r>
      <w:proofErr w:type="spellStart"/>
      <w:r w:rsidRPr="00D01CD0">
        <w:t>Glucose</w:t>
      </w:r>
      <w:proofErr w:type="spellEnd"/>
      <w:r w:rsidRPr="00D01CD0">
        <w:t xml:space="preserve">). SMBG to istniejąca praktyka stosowana w monitorowaniu leczenia u pacjentów z cukrzycą (bez względu na typ cukrzycy, wskazania i wiek pacjenta). </w:t>
      </w:r>
      <w:r w:rsidRPr="00D01CD0">
        <w:lastRenderedPageBreak/>
        <w:t>Przy czym w populacji docelowej istotny jest aspekt nieświadomości hipoglikemii, co jest bardzo trudno skontrolować bezpośrednio w tej grupie pacjentów za pomocą systemu samodzielnego monitorowania poziomu glukozy we krwi, więc nie jest to technologia medyczna w pełni alternatywna w ww. populacji pacjentów.</w:t>
      </w:r>
    </w:p>
    <w:p w14:paraId="500CF22F" w14:textId="29FAF19D" w:rsidR="00D01CD0" w:rsidRPr="00D01CD0" w:rsidRDefault="00D01CD0" w:rsidP="00D01CD0">
      <w:pPr>
        <w:pStyle w:val="NIEARTTEKSTtekstnieartykuowanynppodstprawnarozplubpreambua"/>
      </w:pPr>
      <w:r w:rsidRPr="00D01CD0">
        <w:t>Świadczenie „Ciągłe monitorowanie glikemii w czasie rzeczywistym (CGM-RT) u dzieci z cukrzycą typu I”, realizuje zatem skonkretyzowaną i niezaspokojoną dotychczas potrzebę zdrowotną, dotyczącą istotnie dużej populacji pacjentów. Wprowadzenie powyższego świadczenia zdeterminuje zastosowanie celowanej, i przez to efektywnej, interwencji medycznej, względem najprostsze</w:t>
      </w:r>
      <w:r w:rsidR="004F409F">
        <w:t>j</w:t>
      </w:r>
      <w:r w:rsidRPr="00D01CD0">
        <w:t>, a jednocześnie nieadekwatnej do populacji pediatrycznej, technologii samodzielnego monitorowania poziomu glukozy we krwi przez pacjenta za pomocą gleukometru.</w:t>
      </w:r>
    </w:p>
    <w:p w14:paraId="1BB3CF37" w14:textId="77777777" w:rsidR="00D01CD0" w:rsidRPr="00D01CD0" w:rsidRDefault="00D01CD0" w:rsidP="00D01CD0">
      <w:pPr>
        <w:pStyle w:val="NIEARTTEKSTtekstnieartykuowanynppodstprawnarozplubpreambua"/>
        <w:rPr>
          <w:rStyle w:val="Ppogrubienie"/>
        </w:rPr>
      </w:pPr>
      <w:bookmarkStart w:id="2" w:name="30j0zll" w:colFirst="0" w:colLast="0"/>
      <w:bookmarkEnd w:id="2"/>
      <w:r w:rsidRPr="00D01CD0">
        <w:rPr>
          <w:rStyle w:val="Ppogrubienie"/>
        </w:rPr>
        <w:t>Zastosowanie znakowanych radioizotopowo peptydów w leczeniu chorych na nieoperacyjne guzy neuroendokrynne</w:t>
      </w:r>
    </w:p>
    <w:p w14:paraId="01746C2B" w14:textId="5B14BD83" w:rsidR="00D01CD0" w:rsidRPr="00D01CD0" w:rsidRDefault="001E63EE" w:rsidP="001E63EE">
      <w:pPr>
        <w:pStyle w:val="NIEARTTEKSTtekstnieartykuowanynppodstprawnarozplubpreambua"/>
      </w:pPr>
      <w:r w:rsidRPr="001E63EE">
        <w:t xml:space="preserve">Wprowadzenie świadczenia </w:t>
      </w:r>
      <w:r w:rsidR="00875C1E">
        <w:t>opiera się o</w:t>
      </w:r>
      <w:r w:rsidRPr="001E63EE">
        <w:t xml:space="preserve"> rekomendacj</w:t>
      </w:r>
      <w:r w:rsidR="00875C1E">
        <w:t>ę</w:t>
      </w:r>
      <w:r w:rsidRPr="001E63EE">
        <w:t xml:space="preserve"> nr 52/2013 z</w:t>
      </w:r>
      <w:r w:rsidR="00875C1E">
        <w:t> </w:t>
      </w:r>
      <w:r w:rsidRPr="001E63EE">
        <w:t>dnia 20 maja 2013 r. Prezesa Agencji Oceny Technologii Medycznych i Taryfikacji w</w:t>
      </w:r>
      <w:r w:rsidR="00875C1E">
        <w:t> </w:t>
      </w:r>
      <w:r w:rsidRPr="001E63EE">
        <w:t xml:space="preserve">sprawie zakwalifikowania świadczenia "Zastosowanie znakowanych radioizotopowo peptydów w leczeniu chorych na nieoperacyjne guzy neuroendokrynne", w której Prezes </w:t>
      </w:r>
      <w:proofErr w:type="spellStart"/>
      <w:r w:rsidR="006D0C4B">
        <w:t>AOTMiT</w:t>
      </w:r>
      <w:proofErr w:type="spellEnd"/>
      <w:r w:rsidRPr="001E63EE">
        <w:t xml:space="preserve">, biorąc pod uwagę stanowisko Rady Przejrzystości, a także przedstawione dowody naukowe, uznał za zasadne zakwalifikowanie powyższego świadczenia opieki zdrowotnej, jako świadczenia gwarantowanego w zakresie leczenia szpitalnego u chorych z wysoką ekspresją receptora dla </w:t>
      </w:r>
      <w:proofErr w:type="spellStart"/>
      <w:r w:rsidRPr="001E63EE">
        <w:t>somatostatyny</w:t>
      </w:r>
      <w:proofErr w:type="spellEnd"/>
      <w:r w:rsidRPr="001E63EE">
        <w:t xml:space="preserve">, potwierdzoną w badaniu scyntygraficznym. Prezes </w:t>
      </w:r>
      <w:proofErr w:type="spellStart"/>
      <w:r w:rsidRPr="001E63EE">
        <w:t>AOTMiT</w:t>
      </w:r>
      <w:proofErr w:type="spellEnd"/>
      <w:r w:rsidRPr="001E63EE">
        <w:t xml:space="preserve"> co do zasady nie zakwestionował słuszności objęcia finansowaniem przedmiotowej technologii medycznej ze środków publicznych </w:t>
      </w:r>
      <w:r>
        <w:t>(</w:t>
      </w:r>
      <w:r w:rsidRPr="001E63EE">
        <w:t>dostępność krajowej technologii znakowania radioizotopowego przyczynia się do racjonalizacji kosztów leczenia, do tej pory alternatywę stanowiło leczenie za granicą</w:t>
      </w:r>
      <w:r>
        <w:t>)</w:t>
      </w:r>
      <w:r w:rsidRPr="001E63EE">
        <w:t>. Mając na uwadze niższe koszty realizacji świadczeń udzielanych w trybie ambulatoryjnym i nie zawsze konieczność hospitalizacji pacjenta, Minister Zdrowia podjął decyzję o kwalifikacji przedmiotowego świadczenia jako świadczeni</w:t>
      </w:r>
      <w:r w:rsidR="006D0C4B">
        <w:t>a</w:t>
      </w:r>
      <w:r w:rsidRPr="001E63EE">
        <w:t xml:space="preserve"> gwarantowane</w:t>
      </w:r>
      <w:r w:rsidR="006D0C4B">
        <w:t>go</w:t>
      </w:r>
      <w:r w:rsidRPr="001E63EE">
        <w:t xml:space="preserve"> do realizacji w zakresie ambulatoryjnej opieki specjalistycznej. Dodatkowo warunki realizacji świadczenia obejmują wymóg posiadania w lokalizacji oddziału medycyny nuklearnej co wskazuj</w:t>
      </w:r>
      <w:r w:rsidR="006D0C4B">
        <w:t>e</w:t>
      </w:r>
      <w:r w:rsidRPr="001E63EE">
        <w:t xml:space="preserve"> na konieczność ścisłej współpracy </w:t>
      </w:r>
      <w:r>
        <w:t xml:space="preserve">podmiotów udzielających przedmiotowych </w:t>
      </w:r>
      <w:r w:rsidRPr="001E63EE">
        <w:t>św</w:t>
      </w:r>
      <w:r>
        <w:t>i</w:t>
      </w:r>
      <w:r w:rsidRPr="001E63EE">
        <w:t>adczeń.</w:t>
      </w:r>
      <w:r>
        <w:t xml:space="preserve"> </w:t>
      </w:r>
      <w:r w:rsidR="00D01CD0" w:rsidRPr="00D01CD0">
        <w:t xml:space="preserve">Implementacja powyższego świadczenia do wykazu jest zasadna przede wszystkim z klinicznego punktu widzenia. Dowody naukowe, na których oparł się Prezes </w:t>
      </w:r>
      <w:proofErr w:type="spellStart"/>
      <w:r w:rsidR="00D01CD0" w:rsidRPr="00D01CD0">
        <w:t>A</w:t>
      </w:r>
      <w:r w:rsidR="006D0C4B">
        <w:t>OTMiT</w:t>
      </w:r>
      <w:proofErr w:type="spellEnd"/>
      <w:r w:rsidR="00D01CD0" w:rsidRPr="00D01CD0">
        <w:t xml:space="preserve"> bazują </w:t>
      </w:r>
      <w:r w:rsidR="00D01CD0" w:rsidRPr="00D01CD0">
        <w:lastRenderedPageBreak/>
        <w:t>na analizach skuteczności klinicznej stosowania procedury. Świadczenie jest dedykowane dla ściśle sprecyzowanej populacji pacjentów z guzami neuroendokrynnymi żołądkowo-jelitowo-trzustkowymi (ang. gastro-</w:t>
      </w:r>
      <w:proofErr w:type="spellStart"/>
      <w:r w:rsidR="00D01CD0" w:rsidRPr="00D01CD0">
        <w:t>enteropancreatic</w:t>
      </w:r>
      <w:proofErr w:type="spellEnd"/>
      <w:r w:rsidR="00D01CD0" w:rsidRPr="00D01CD0">
        <w:t xml:space="preserve"> </w:t>
      </w:r>
      <w:proofErr w:type="spellStart"/>
      <w:r w:rsidR="00D01CD0" w:rsidRPr="00D01CD0">
        <w:t>neuroendocrine</w:t>
      </w:r>
      <w:proofErr w:type="spellEnd"/>
      <w:r w:rsidR="00D01CD0" w:rsidRPr="00D01CD0">
        <w:t xml:space="preserve"> </w:t>
      </w:r>
      <w:proofErr w:type="spellStart"/>
      <w:r w:rsidR="00D01CD0" w:rsidRPr="00D01CD0">
        <w:t>tumors</w:t>
      </w:r>
      <w:proofErr w:type="spellEnd"/>
      <w:r w:rsidR="00D01CD0" w:rsidRPr="00D01CD0">
        <w:t xml:space="preserve">, GEP NET). Celem wprowadzenia świadczenia do wykazu jest zrealizowanie niezaspokojonej potrzeby zdrowotnej wprowadzenia interwencji medycznej dla pacjentów, u których zdiagnozowano guzy neuroendokrynne, NET (ang. </w:t>
      </w:r>
      <w:proofErr w:type="spellStart"/>
      <w:r w:rsidR="00D01CD0" w:rsidRPr="00D01CD0">
        <w:t>neuroendocrine</w:t>
      </w:r>
      <w:proofErr w:type="spellEnd"/>
      <w:r w:rsidR="00D01CD0" w:rsidRPr="00D01CD0">
        <w:t xml:space="preserve"> </w:t>
      </w:r>
      <w:proofErr w:type="spellStart"/>
      <w:r w:rsidR="00D01CD0" w:rsidRPr="00D01CD0">
        <w:t>tumors</w:t>
      </w:r>
      <w:proofErr w:type="spellEnd"/>
      <w:r w:rsidR="00D01CD0" w:rsidRPr="00D01CD0">
        <w:t xml:space="preserve">), które są rzadkimi, wolno rosnącymi nowotworami, wywodzącymi się z gruczołów wewnętrznego wydzielania z grup komórek </w:t>
      </w:r>
      <w:proofErr w:type="spellStart"/>
      <w:r w:rsidR="00D01CD0" w:rsidRPr="00D01CD0">
        <w:t>endokrynnych</w:t>
      </w:r>
      <w:proofErr w:type="spellEnd"/>
      <w:r w:rsidR="00D01CD0" w:rsidRPr="00D01CD0">
        <w:t xml:space="preserve"> obecnych wewnątrz tkanek gruczołowych oraz z komórek z rozproszonego układu </w:t>
      </w:r>
      <w:proofErr w:type="spellStart"/>
      <w:r w:rsidR="00D01CD0" w:rsidRPr="00D01CD0">
        <w:t>endokrynnego</w:t>
      </w:r>
      <w:proofErr w:type="spellEnd"/>
      <w:r w:rsidR="00D01CD0" w:rsidRPr="00D01CD0">
        <w:t>. Według polskich wytycznych leczenia guzów NET, zapadalność na te nowotwory wynosi obecnie 3 przypadki na 100 tys. osób rocznie i wykazuje tendencję wzrostową. Ujawnienie tej tendencji można tłumaczyć coraz lepszymi i bardziej dostę</w:t>
      </w:r>
      <w:r w:rsidR="004C6A02">
        <w:t>pnymi metodami diagnostycznymi.</w:t>
      </w:r>
    </w:p>
    <w:p w14:paraId="6A6656FB" w14:textId="77777777" w:rsidR="00D01CD0" w:rsidRPr="00D01CD0" w:rsidRDefault="00D01CD0" w:rsidP="00D01CD0">
      <w:pPr>
        <w:pStyle w:val="NIEARTTEKSTtekstnieartykuowanynppodstprawnarozplubpreambua"/>
      </w:pPr>
      <w:r w:rsidRPr="00D01CD0">
        <w:t xml:space="preserve">Dodatkowym argumentem przemawiającym za kwalifikacją przedmiotowego świadczenia do wykazu świadczeń gwarantowanych jest zgodność z rekomendacjami Polskiej Sieci Guzów Neuroendokrynnych (PSGN), zgodnie z którymi wskazaniem do leczenia znakowanymi radioizotopowo analogami </w:t>
      </w:r>
      <w:proofErr w:type="spellStart"/>
      <w:r w:rsidRPr="00D01CD0">
        <w:t>somatostatyny</w:t>
      </w:r>
      <w:proofErr w:type="spellEnd"/>
      <w:r w:rsidRPr="00D01CD0">
        <w:t xml:space="preserve"> powinna być wysoka ekspresja receptora dla SST potwierdzona w badaniu scyntygraficznym (III klasa gromadzenia, bądź klasa IV w przypadku zmian zlokalizowanych w wątrobie).</w:t>
      </w:r>
    </w:p>
    <w:p w14:paraId="7323BF36" w14:textId="396220DC" w:rsidR="00D01CD0" w:rsidRPr="00D01CD0" w:rsidRDefault="00D01CD0" w:rsidP="00D01CD0">
      <w:pPr>
        <w:pStyle w:val="NIEARTTEKSTtekstnieartykuowanynppodstprawnarozplubpreambua"/>
      </w:pPr>
      <w:r w:rsidRPr="00D01CD0">
        <w:t xml:space="preserve">Dotychczasowy brak tego świadczenia w wykazie powodował, że leczenie NET znakowanymi radioizotopowo analogami SST było finansowane w ramach zgód na leczenie w ośrodkach zagranicznych lub jako świadczenie za zgodą płatnika (do 2009 roku) lub jako hospitalizacja zachowawcza bez wskazania wykonanej procedury. </w:t>
      </w:r>
    </w:p>
    <w:p w14:paraId="5E1D2A00" w14:textId="46401B13" w:rsidR="00D01CD0" w:rsidRPr="00D01CD0" w:rsidRDefault="00D01CD0" w:rsidP="00D01CD0">
      <w:pPr>
        <w:pStyle w:val="NIEARTTEKSTtekstnieartykuowanynppodstprawnarozplubpreambua"/>
      </w:pPr>
      <w:r w:rsidRPr="00D01CD0">
        <w:t>Dodatkowo wprowadzono zmiany polegające na obniżeniu wymagań dotyczących wyposażenia w sprzęt oraz aparaturę medyczną świadczenia „</w:t>
      </w:r>
      <w:proofErr w:type="spellStart"/>
      <w:r w:rsidRPr="00D01CD0">
        <w:t>Teleradioterapia</w:t>
      </w:r>
      <w:proofErr w:type="spellEnd"/>
      <w:r w:rsidRPr="00D01CD0">
        <w:t xml:space="preserve"> </w:t>
      </w:r>
      <w:proofErr w:type="spellStart"/>
      <w:r w:rsidRPr="00D01CD0">
        <w:t>konformalna</w:t>
      </w:r>
      <w:proofErr w:type="spellEnd"/>
      <w:r w:rsidRPr="00D01CD0">
        <w:t xml:space="preserve"> z</w:t>
      </w:r>
      <w:r w:rsidR="008F44B9">
        <w:t> </w:t>
      </w:r>
      <w:r w:rsidRPr="00D01CD0">
        <w:t xml:space="preserve">monitoringiem TK, bramkowana, z modulacją intensywności dawki, elektronami, fotonami” oraz „Brachyterapia z planowaniem 3D. </w:t>
      </w:r>
    </w:p>
    <w:p w14:paraId="1FE13970" w14:textId="5ADC2409" w:rsidR="00D01CD0" w:rsidRDefault="00D01CD0" w:rsidP="00D01CD0">
      <w:pPr>
        <w:pStyle w:val="NIEARTTEKSTtekstnieartykuowanynppodstprawnarozplubpreambua"/>
      </w:pPr>
      <w:r w:rsidRPr="00D01CD0">
        <w:t>W odniesieniu do świadczenia „</w:t>
      </w:r>
      <w:proofErr w:type="spellStart"/>
      <w:r w:rsidRPr="00D01CD0">
        <w:t>Teleradioterapia</w:t>
      </w:r>
      <w:proofErr w:type="spellEnd"/>
      <w:r w:rsidRPr="00D01CD0">
        <w:t xml:space="preserve"> </w:t>
      </w:r>
      <w:proofErr w:type="spellStart"/>
      <w:r w:rsidRPr="00D01CD0">
        <w:t>konformalna</w:t>
      </w:r>
      <w:proofErr w:type="spellEnd"/>
      <w:r w:rsidRPr="00D01CD0">
        <w:t xml:space="preserve"> z monitoringiem TK, bramkowana, z modulacją intensywności dawki, elektronami, fotonami” (lp.17 załącznik </w:t>
      </w:r>
      <w:r w:rsidR="004F409F">
        <w:t xml:space="preserve">nr </w:t>
      </w:r>
      <w:r w:rsidRPr="00D01CD0">
        <w:t>5) wskazać należy, że podział na energie wysokie i niskie wiązek fotonowych ma swoje uzasadnienie w nomenklaturze dozymetrycznej raportu: „</w:t>
      </w:r>
      <w:proofErr w:type="spellStart"/>
      <w:r w:rsidRPr="00D01CD0">
        <w:t>Implementation</w:t>
      </w:r>
      <w:proofErr w:type="spellEnd"/>
      <w:r w:rsidRPr="00D01CD0">
        <w:t xml:space="preserve"> of the International </w:t>
      </w:r>
      <w:proofErr w:type="spellStart"/>
      <w:r w:rsidRPr="00D01CD0">
        <w:t>Code</w:t>
      </w:r>
      <w:proofErr w:type="spellEnd"/>
      <w:r w:rsidRPr="00D01CD0">
        <w:t xml:space="preserve"> of </w:t>
      </w:r>
      <w:proofErr w:type="spellStart"/>
      <w:r w:rsidRPr="00D01CD0">
        <w:t>Practice</w:t>
      </w:r>
      <w:proofErr w:type="spellEnd"/>
      <w:r w:rsidRPr="00D01CD0">
        <w:t xml:space="preserve"> on </w:t>
      </w:r>
      <w:proofErr w:type="spellStart"/>
      <w:r w:rsidRPr="00D01CD0">
        <w:t>Dosimetry</w:t>
      </w:r>
      <w:proofErr w:type="spellEnd"/>
      <w:r w:rsidRPr="00D01CD0">
        <w:t xml:space="preserve"> in </w:t>
      </w:r>
      <w:proofErr w:type="spellStart"/>
      <w:r w:rsidRPr="00D01CD0">
        <w:t>Radiotherapy</w:t>
      </w:r>
      <w:proofErr w:type="spellEnd"/>
      <w:r w:rsidRPr="00D01CD0">
        <w:t xml:space="preserve"> (TRS 398)”, z którego wynika, że pomiar mocy dawki dla niskiej energii wykonuje się na głębokości 5 cm w wodzie, a dla wysokich na </w:t>
      </w:r>
      <w:r w:rsidRPr="00D01CD0">
        <w:lastRenderedPageBreak/>
        <w:t xml:space="preserve">głębokości 10 cm. Wyznacznikiem mówiącym o tym rozdzieleniu jest współczynnik określający energię wiązki fotonowej, tzw. TPR (ang. </w:t>
      </w:r>
      <w:proofErr w:type="spellStart"/>
      <w:r w:rsidRPr="00D01CD0">
        <w:t>Tissue</w:t>
      </w:r>
      <w:proofErr w:type="spellEnd"/>
      <w:r w:rsidRPr="00D01CD0">
        <w:t>-Phantom-Ratio), jeśli jest on wyższy niż 0.7, wówczas wiązka identyfikowana jest jako wysokoenergetyczna. Dla fotonów o energii 9MeV, TPR wynosi 0.718, co kwalifikuje tę wiązkę do pomiarów na dużych głębokościach, tym samym określając ją jako wysokoenergetyczną. Zaleca się, aby wiązką powszechne stosowaną w radioterapii były fotony o energii 6MeV, ponieważ są najczęściej i</w:t>
      </w:r>
      <w:r w:rsidR="008F44B9">
        <w:t> </w:t>
      </w:r>
      <w:r w:rsidRPr="00D01CD0">
        <w:t>najdokładniej opisane pomiarowo w raporcie „</w:t>
      </w:r>
      <w:proofErr w:type="spellStart"/>
      <w:r w:rsidRPr="00D01CD0">
        <w:t>Implementation</w:t>
      </w:r>
      <w:proofErr w:type="spellEnd"/>
      <w:r w:rsidRPr="00D01CD0">
        <w:t xml:space="preserve"> of the International </w:t>
      </w:r>
      <w:proofErr w:type="spellStart"/>
      <w:r w:rsidRPr="00D01CD0">
        <w:t>Code</w:t>
      </w:r>
      <w:proofErr w:type="spellEnd"/>
      <w:r w:rsidRPr="00D01CD0">
        <w:t xml:space="preserve"> of </w:t>
      </w:r>
      <w:proofErr w:type="spellStart"/>
      <w:r w:rsidRPr="00D01CD0">
        <w:t>Practice</w:t>
      </w:r>
      <w:proofErr w:type="spellEnd"/>
      <w:r w:rsidRPr="00D01CD0">
        <w:t xml:space="preserve"> on </w:t>
      </w:r>
      <w:proofErr w:type="spellStart"/>
      <w:r w:rsidRPr="00D01CD0">
        <w:t>Dosimetry</w:t>
      </w:r>
      <w:proofErr w:type="spellEnd"/>
      <w:r w:rsidRPr="00D01CD0">
        <w:t xml:space="preserve"> in </w:t>
      </w:r>
      <w:proofErr w:type="spellStart"/>
      <w:r w:rsidRPr="00D01CD0">
        <w:t>Radiotherapy</w:t>
      </w:r>
      <w:proofErr w:type="spellEnd"/>
      <w:r w:rsidRPr="00D01CD0">
        <w:t xml:space="preserve"> (TRS 398)”. Oba aparaty powinny zawierać co najmniej po jednej identycznej wiązce fotonowej tak, aby w czasie awarii w sprawny sposób napromieniać pacjentów na innym aparacie. Ponadto </w:t>
      </w:r>
      <w:r>
        <w:t xml:space="preserve">techniki IMRT i VMAT stały się rutynowymi technikami radioterapii i nie ma uzasadnienia przepis dotyczący konieczności posiadania 3 akceleratorów do ich realizacji. </w:t>
      </w:r>
    </w:p>
    <w:p w14:paraId="1E6545B2" w14:textId="5D1C9AAF" w:rsidR="00D01CD0" w:rsidRPr="00D01CD0" w:rsidRDefault="00D01CD0" w:rsidP="00D01CD0">
      <w:pPr>
        <w:pStyle w:val="NIEARTTEKSTtekstnieartykuowanynppodstprawnarozplubpreambua"/>
      </w:pPr>
      <w:r w:rsidRPr="00D01CD0">
        <w:t>W zakresie świadczenia „Brachyterapia z planowaniem 3D” (lp. 19 załącznik nr 5) wprowadzono zmianę dotyczącą wyposażenia w sprzęt i aparaturę medyczną”. Brak jest uzasadnienia dla konieczności posiadania dwóch aparatów do brachyterapii w celu realizowania procedur 3D. Awaryjność urządzeń jest niska, a czas potrzebny na wymianę źródła promieniotwórczego na tyle krótki, że niezauważalny w organizacji pracy, podobnie przeglądy serwisowe i procedury QA. Istotą aparatu do brachyterapii jest posiadanie źródła promieniotwórczego, które ze względu na swoją naturę w sposób ciągły jest emiterem promieniowania, stąd urządzenie powinno być eksploatowane tak długo w ciągu dnia jak to możliwe. Zamiast instalacji dwóch urządzeń należy rozplanować pracę na więcej godzin w</w:t>
      </w:r>
      <w:r w:rsidR="008F44B9">
        <w:t> </w:t>
      </w:r>
      <w:r w:rsidRPr="00D01CD0">
        <w:t xml:space="preserve">ciągu doby. </w:t>
      </w:r>
    </w:p>
    <w:p w14:paraId="2E2F867F" w14:textId="77777777" w:rsidR="00D01CD0" w:rsidRPr="00D01CD0" w:rsidRDefault="00D01CD0" w:rsidP="00D01CD0">
      <w:pPr>
        <w:pStyle w:val="NIEARTTEKSTtekstnieartykuowanynppodstprawnarozplubpreambua"/>
      </w:pPr>
      <w:r w:rsidRPr="00D01CD0">
        <w:t>Obie zmiany dotyczące świadczeń radioterapii zaproponowano również w celu ujednolicenia wymagań z tymi świadczeniami realizowanymi w zakresie leczenia szpitalnego, wychodząc z założenia, że świadczenia w zakresie ambulatoryjnej opieki specjalistycznej powinny cechować się niższymi kosztami realizacji świadczeń.</w:t>
      </w:r>
    </w:p>
    <w:p w14:paraId="1F01EC28" w14:textId="561CDBE0" w:rsidR="004F409F" w:rsidRPr="004F409F" w:rsidRDefault="00D01CD0" w:rsidP="004F409F">
      <w:pPr>
        <w:pStyle w:val="NIEARTTEKSTtekstnieartykuowanynppodstprawnarozplubpreambua"/>
      </w:pPr>
      <w:r w:rsidRPr="00D01CD0">
        <w:t>Planowany termin wejścia w życie ro</w:t>
      </w:r>
      <w:r w:rsidR="008F44B9">
        <w:t xml:space="preserve">zporządzenia to 1 </w:t>
      </w:r>
      <w:r w:rsidR="00861271">
        <w:t xml:space="preserve">kwietnia </w:t>
      </w:r>
      <w:r w:rsidR="008F44B9">
        <w:t>2018 r.</w:t>
      </w:r>
      <w:r w:rsidRPr="00D01CD0">
        <w:t xml:space="preserve"> Taki termin wejścia w życie </w:t>
      </w:r>
      <w:r w:rsidR="00861271">
        <w:t xml:space="preserve">został wskazany przez Ministra Zdrowia biorąc pod uwagę analizy finansowe wprowadzanych świadczeń a także ich szacunki, które opracowane zostały od drugiego kwartału 2018 r. oraz konieczność zapewnienia przez Narodowy Fundusz Zdrowia finansowania nowych świadczeń. Proponowany termin wejścia w życie rozporządzenia </w:t>
      </w:r>
      <w:r w:rsidRPr="00D01CD0">
        <w:t xml:space="preserve">umożliwi Prezesowi Narodowego Funduszu Zdrowia wydanie odpowiednich zarządzeń, </w:t>
      </w:r>
      <w:r w:rsidRPr="00D01CD0">
        <w:lastRenderedPageBreak/>
        <w:t>niezbędnych do przygotowania do realizacji nowych świadczeń gwarantowanych. Powyższy termin podyktowany jest również koniecznością zapewnienia świadczeniobiorcom możliwie najlepszej jakości oraz dostępności do świadczeń.</w:t>
      </w:r>
      <w:r w:rsidR="00A4481C">
        <w:t xml:space="preserve"> </w:t>
      </w:r>
      <w:r w:rsidR="00A4481C" w:rsidRPr="00A4481C">
        <w:t>Jest planowane zachowanie 14-dniowego okresu vacatio legis.</w:t>
      </w:r>
    </w:p>
    <w:p w14:paraId="01DBD8FC" w14:textId="77777777" w:rsidR="00D01CD0" w:rsidRPr="00D01CD0" w:rsidRDefault="00D01CD0" w:rsidP="00D01CD0">
      <w:pPr>
        <w:pStyle w:val="NIEARTTEKSTtekstnieartykuowanynppodstprawnarozplubpreambua"/>
      </w:pPr>
      <w:r w:rsidRPr="00D01CD0">
        <w:t xml:space="preserve">Projekt nie jest sprzeczny z prawem Unii Europejskiej. </w:t>
      </w:r>
    </w:p>
    <w:p w14:paraId="6A1FDB3D" w14:textId="77777777" w:rsidR="00D01CD0" w:rsidRPr="00D01CD0" w:rsidRDefault="00D01CD0" w:rsidP="00D01CD0">
      <w:pPr>
        <w:pStyle w:val="NIEARTTEKSTtekstnieartykuowanynppodstprawnarozplubpreambua"/>
      </w:pPr>
      <w:r w:rsidRPr="00D01CD0">
        <w:t xml:space="preserve">Przedmiotowy projekt nie będzie miał wpływu na działalność </w:t>
      </w:r>
      <w:proofErr w:type="spellStart"/>
      <w:r w:rsidRPr="00D01CD0">
        <w:t>mikroprzedsiębiorców</w:t>
      </w:r>
      <w:proofErr w:type="spellEnd"/>
      <w:r w:rsidRPr="00D01CD0">
        <w:t xml:space="preserve">, małych i średnich przedsiębiorców. </w:t>
      </w:r>
    </w:p>
    <w:p w14:paraId="089A6498" w14:textId="73AB64C4" w:rsidR="00D01CD0" w:rsidRDefault="00D01CD0" w:rsidP="008F44B9">
      <w:pPr>
        <w:pStyle w:val="NIEARTTEKSTtekstnieartykuowanynppodstprawnarozplubpreambua"/>
      </w:pPr>
      <w:r w:rsidRPr="00D01CD0">
        <w:t>Projekt nie zawiera przepisów technicznych w rozumieniu przepisów rozporządzenia Rady Ministrów z dnia 23 grudnia 2002 r. w sprawie sposobu funkcjonowania krajowego systemu notyfikacji norm i aktów prawnych (Dz. U. z 2002 r. poz. 2039, z późn. zm.) i w związku z tym nie podlega procedurze notyfikacji.</w:t>
      </w:r>
    </w:p>
    <w:p w14:paraId="30EACDE9" w14:textId="77777777" w:rsidR="0074671E" w:rsidRPr="00CF7763" w:rsidRDefault="0074671E" w:rsidP="00D01CD0">
      <w:pPr>
        <w:pStyle w:val="NIEARTTEKSTtekstnieartykuowanynppodstprawnarozplubpreambua"/>
      </w:pPr>
      <w:r w:rsidRPr="00CF7763">
        <w:t>Ze względu na treść upoważnienia ustawowego zawartego w art. 31d ustawy</w:t>
      </w:r>
      <w:r>
        <w:t xml:space="preserve"> z dnia 27 </w:t>
      </w:r>
      <w:r w:rsidRPr="00C951BB">
        <w:t>sierpnia 2004 r. o świadczeniach opieki zdrowotnej finansowanych ze środków publicznych</w:t>
      </w:r>
      <w:r w:rsidRPr="00CF7763">
        <w:t xml:space="preserve"> brak jest możliwości podjęcia alternatywnych w stosunku do wydania rozporządzenia środków umożliwiających osiągnięcie zamierzonego celu</w:t>
      </w:r>
      <w:r>
        <w:t>.</w:t>
      </w:r>
      <w:r w:rsidRPr="00CF7763">
        <w:t xml:space="preserve"> </w:t>
      </w:r>
    </w:p>
    <w:p w14:paraId="47C09D3A" w14:textId="77777777" w:rsidR="006A1DF1" w:rsidRPr="006A1DF1" w:rsidRDefault="006A1DF1" w:rsidP="00D01CD0">
      <w:pPr>
        <w:pStyle w:val="NIEARTTEKSTtekstnieartykuowanynppodstprawnarozplubpreambua"/>
      </w:pPr>
      <w:r w:rsidRPr="006A1DF1">
        <w:t>Projekt nie wymaga przedstawienia właściwym organom i instytucjom Unii Europejskiej, w tym Europejskiemu Bankowi Centralnemu, w celu uzyskania opinii, dokonania powiadomienia, konsultacji albo uzgodnienia.</w:t>
      </w:r>
    </w:p>
    <w:p w14:paraId="12584C12" w14:textId="77777777" w:rsidR="000D6E16" w:rsidRPr="000D6E16" w:rsidRDefault="000D6E16" w:rsidP="00D01CD0">
      <w:pPr>
        <w:pStyle w:val="NIEARTTEKSTtekstnieartykuowanynppodstprawnarozplubpreambua"/>
      </w:pPr>
    </w:p>
    <w:sectPr w:rsidR="000D6E16" w:rsidRPr="000D6E16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D5F9" w14:textId="77777777" w:rsidR="002C6078" w:rsidRDefault="002C6078">
      <w:r>
        <w:separator/>
      </w:r>
    </w:p>
  </w:endnote>
  <w:endnote w:type="continuationSeparator" w:id="0">
    <w:p w14:paraId="47EBC8F9" w14:textId="77777777" w:rsidR="002C6078" w:rsidRDefault="002C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B3DD" w14:textId="77777777" w:rsidR="002C6078" w:rsidRDefault="002C6078">
      <w:r>
        <w:separator/>
      </w:r>
    </w:p>
  </w:footnote>
  <w:footnote w:type="continuationSeparator" w:id="0">
    <w:p w14:paraId="448BD582" w14:textId="77777777" w:rsidR="002C6078" w:rsidRDefault="002C6078">
      <w:r>
        <w:continuationSeparator/>
      </w:r>
    </w:p>
  </w:footnote>
  <w:footnote w:id="1">
    <w:p w14:paraId="1F62B911" w14:textId="54643009" w:rsidR="000F2CFE" w:rsidRDefault="000F2CFE" w:rsidP="000F2CF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rPr>
          <w:vertAlign w:val="superscript"/>
        </w:rPr>
        <w:tab/>
      </w:r>
      <w:r>
        <w:t xml:space="preserve">Minister Zdrowia </w:t>
      </w:r>
      <w:r w:rsidRPr="0084549D">
        <w:t xml:space="preserve">kieruje działem administracji rządowej </w:t>
      </w:r>
      <w:r>
        <w:t>-</w:t>
      </w:r>
      <w:r w:rsidRPr="0084549D">
        <w:t xml:space="preserve"> </w:t>
      </w:r>
      <w:r w:rsidRPr="003B26E0">
        <w:t xml:space="preserve">zdrowie, na podstawie § 1 ust. 2 rozporządzenia </w:t>
      </w:r>
      <w:r w:rsidR="00101663">
        <w:t>Prezesa Rady Ministrów z dnia 13</w:t>
      </w:r>
      <w:r w:rsidRPr="003B26E0">
        <w:t xml:space="preserve"> </w:t>
      </w:r>
      <w:r w:rsidR="00101663">
        <w:t>grudnia</w:t>
      </w:r>
      <w:r w:rsidRPr="003B26E0">
        <w:t xml:space="preserve"> 201</w:t>
      </w:r>
      <w:r w:rsidR="00101663">
        <w:t>7</w:t>
      </w:r>
      <w:r w:rsidRPr="003B26E0">
        <w:t xml:space="preserve"> r. w sprawie szczegółowego zakresu działania Mi</w:t>
      </w:r>
      <w:r w:rsidR="00101663">
        <w:t>nistra Zdrowia (Dz. U. poz. 2328</w:t>
      </w:r>
      <w:r w:rsidRPr="003B26E0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C477" w14:textId="7030F939" w:rsidR="00641921" w:rsidRDefault="00641921">
    <w:pPr>
      <w:pStyle w:val="Nagwek"/>
    </w:pPr>
    <w:r>
      <w:t xml:space="preserve">                                                                                                     Projekt z dnia </w:t>
    </w:r>
    <w:r w:rsidR="00B800AB">
      <w:t>2</w:t>
    </w:r>
    <w:r w:rsidR="00A4481C">
      <w:t>8</w:t>
    </w:r>
    <w:r>
      <w:t xml:space="preserve">.12.2017 r.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ADB5" w14:textId="2ECB35CA" w:rsidR="000F2CFE" w:rsidRPr="00B371CC" w:rsidRDefault="000F2CFE" w:rsidP="00B371CC">
    <w:pPr>
      <w:pStyle w:val="Nagwek"/>
      <w:jc w:val="center"/>
    </w:pPr>
    <w:r>
      <w:t xml:space="preserve">– </w:t>
    </w:r>
    <w:r w:rsidR="003838A3">
      <w:fldChar w:fldCharType="begin"/>
    </w:r>
    <w:r w:rsidR="00FE2582">
      <w:instrText xml:space="preserve"> PAGE  \* MERGEFORMAT </w:instrText>
    </w:r>
    <w:r w:rsidR="003838A3">
      <w:fldChar w:fldCharType="separate"/>
    </w:r>
    <w:r w:rsidR="00600EB1">
      <w:rPr>
        <w:noProof/>
      </w:rPr>
      <w:t>12</w:t>
    </w:r>
    <w:r w:rsidR="003838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660"/>
    <w:multiLevelType w:val="hybridMultilevel"/>
    <w:tmpl w:val="26C0F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77B2C"/>
    <w:multiLevelType w:val="hybridMultilevel"/>
    <w:tmpl w:val="080AD988"/>
    <w:lvl w:ilvl="0" w:tplc="EEF608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EAB"/>
    <w:multiLevelType w:val="hybridMultilevel"/>
    <w:tmpl w:val="8B92EEE4"/>
    <w:lvl w:ilvl="0" w:tplc="3620DD90">
      <w:start w:val="1"/>
      <w:numFmt w:val="decimal"/>
      <w:lvlText w:val="%1)"/>
      <w:lvlJc w:val="left"/>
      <w:pPr>
        <w:ind w:left="720" w:hanging="360"/>
      </w:pPr>
      <w:rPr>
        <w:rFonts w:cs="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0627"/>
    <w:multiLevelType w:val="hybridMultilevel"/>
    <w:tmpl w:val="3E6C1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6050A"/>
    <w:multiLevelType w:val="hybridMultilevel"/>
    <w:tmpl w:val="47B44544"/>
    <w:lvl w:ilvl="0" w:tplc="91EEE5B2">
      <w:start w:val="1"/>
      <w:numFmt w:val="lowerLetter"/>
      <w:lvlText w:val="%1)"/>
      <w:lvlJc w:val="left"/>
      <w:pPr>
        <w:ind w:left="1069" w:hanging="360"/>
      </w:pPr>
      <w:rPr>
        <w:rFonts w:ascii="A" w:eastAsiaTheme="minorEastAsia" w:hAnsi="A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191D3E"/>
    <w:multiLevelType w:val="hybridMultilevel"/>
    <w:tmpl w:val="2DE6502A"/>
    <w:lvl w:ilvl="0" w:tplc="B63A5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F74A5"/>
    <w:multiLevelType w:val="hybridMultilevel"/>
    <w:tmpl w:val="AB600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925BC"/>
    <w:multiLevelType w:val="hybridMultilevel"/>
    <w:tmpl w:val="2508090E"/>
    <w:lvl w:ilvl="0" w:tplc="18F60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5559B"/>
    <w:multiLevelType w:val="hybridMultilevel"/>
    <w:tmpl w:val="75083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1975"/>
    <w:multiLevelType w:val="hybridMultilevel"/>
    <w:tmpl w:val="90FEDE6C"/>
    <w:lvl w:ilvl="0" w:tplc="58866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7163DA"/>
    <w:multiLevelType w:val="hybridMultilevel"/>
    <w:tmpl w:val="DE5AE286"/>
    <w:lvl w:ilvl="0" w:tplc="0DB09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65B61"/>
    <w:multiLevelType w:val="hybridMultilevel"/>
    <w:tmpl w:val="09847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837FD"/>
    <w:multiLevelType w:val="hybridMultilevel"/>
    <w:tmpl w:val="3EE893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D8"/>
    <w:rsid w:val="0000085B"/>
    <w:rsid w:val="000012DA"/>
    <w:rsid w:val="0000246E"/>
    <w:rsid w:val="00003862"/>
    <w:rsid w:val="00012A35"/>
    <w:rsid w:val="00016099"/>
    <w:rsid w:val="00017DC2"/>
    <w:rsid w:val="00021522"/>
    <w:rsid w:val="00023471"/>
    <w:rsid w:val="000238CD"/>
    <w:rsid w:val="00023F13"/>
    <w:rsid w:val="000258EB"/>
    <w:rsid w:val="00030634"/>
    <w:rsid w:val="000319C1"/>
    <w:rsid w:val="00031A8B"/>
    <w:rsid w:val="00031BCA"/>
    <w:rsid w:val="00032379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1DD"/>
    <w:rsid w:val="0005571B"/>
    <w:rsid w:val="00057AB3"/>
    <w:rsid w:val="00060076"/>
    <w:rsid w:val="00060432"/>
    <w:rsid w:val="00060D87"/>
    <w:rsid w:val="000615A5"/>
    <w:rsid w:val="00064E4C"/>
    <w:rsid w:val="00066901"/>
    <w:rsid w:val="0007156D"/>
    <w:rsid w:val="00071BEE"/>
    <w:rsid w:val="000736CD"/>
    <w:rsid w:val="0007533B"/>
    <w:rsid w:val="0007545D"/>
    <w:rsid w:val="000760BF"/>
    <w:rsid w:val="0007613E"/>
    <w:rsid w:val="00076BFC"/>
    <w:rsid w:val="000814A7"/>
    <w:rsid w:val="00083ECC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1FD"/>
    <w:rsid w:val="000A2649"/>
    <w:rsid w:val="000A323B"/>
    <w:rsid w:val="000A7957"/>
    <w:rsid w:val="000B298D"/>
    <w:rsid w:val="000B5B2D"/>
    <w:rsid w:val="000B5DCE"/>
    <w:rsid w:val="000C05BA"/>
    <w:rsid w:val="000C0E8F"/>
    <w:rsid w:val="000C4BC4"/>
    <w:rsid w:val="000C4C1B"/>
    <w:rsid w:val="000C6C59"/>
    <w:rsid w:val="000C71B6"/>
    <w:rsid w:val="000D0110"/>
    <w:rsid w:val="000D0806"/>
    <w:rsid w:val="000D2468"/>
    <w:rsid w:val="000D318A"/>
    <w:rsid w:val="000D6173"/>
    <w:rsid w:val="000D6E16"/>
    <w:rsid w:val="000D6F83"/>
    <w:rsid w:val="000E25CC"/>
    <w:rsid w:val="000E2FB2"/>
    <w:rsid w:val="000E3694"/>
    <w:rsid w:val="000E490F"/>
    <w:rsid w:val="000E6241"/>
    <w:rsid w:val="000F2BE3"/>
    <w:rsid w:val="000F2CFE"/>
    <w:rsid w:val="000F3D0D"/>
    <w:rsid w:val="000F6047"/>
    <w:rsid w:val="000F6ED4"/>
    <w:rsid w:val="000F7A6E"/>
    <w:rsid w:val="00101663"/>
    <w:rsid w:val="00102BED"/>
    <w:rsid w:val="001042BA"/>
    <w:rsid w:val="0010624E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7E7"/>
    <w:rsid w:val="001270A2"/>
    <w:rsid w:val="00127133"/>
    <w:rsid w:val="001303F0"/>
    <w:rsid w:val="00131237"/>
    <w:rsid w:val="001329AC"/>
    <w:rsid w:val="00134CA0"/>
    <w:rsid w:val="001373F7"/>
    <w:rsid w:val="0014026F"/>
    <w:rsid w:val="00147A47"/>
    <w:rsid w:val="00147AA1"/>
    <w:rsid w:val="001520CF"/>
    <w:rsid w:val="00152984"/>
    <w:rsid w:val="0015667C"/>
    <w:rsid w:val="00157110"/>
    <w:rsid w:val="0015742A"/>
    <w:rsid w:val="00157DA1"/>
    <w:rsid w:val="00161B8C"/>
    <w:rsid w:val="00163147"/>
    <w:rsid w:val="00164C57"/>
    <w:rsid w:val="00164C9D"/>
    <w:rsid w:val="001679E3"/>
    <w:rsid w:val="00172CDA"/>
    <w:rsid w:val="00172F7A"/>
    <w:rsid w:val="00173150"/>
    <w:rsid w:val="00173390"/>
    <w:rsid w:val="001736F0"/>
    <w:rsid w:val="00173BB3"/>
    <w:rsid w:val="001740D0"/>
    <w:rsid w:val="00174F2C"/>
    <w:rsid w:val="00177EEB"/>
    <w:rsid w:val="00180F2A"/>
    <w:rsid w:val="00184B91"/>
    <w:rsid w:val="00184D4A"/>
    <w:rsid w:val="001865A2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7F8"/>
    <w:rsid w:val="001A7F15"/>
    <w:rsid w:val="001B342E"/>
    <w:rsid w:val="001C149C"/>
    <w:rsid w:val="001C1832"/>
    <w:rsid w:val="001C188C"/>
    <w:rsid w:val="001C4F75"/>
    <w:rsid w:val="001D1783"/>
    <w:rsid w:val="001D3B78"/>
    <w:rsid w:val="001D3C48"/>
    <w:rsid w:val="001D4E74"/>
    <w:rsid w:val="001D53CD"/>
    <w:rsid w:val="001D55A3"/>
    <w:rsid w:val="001D5AF5"/>
    <w:rsid w:val="001D6CF4"/>
    <w:rsid w:val="001E1E73"/>
    <w:rsid w:val="001E4E0C"/>
    <w:rsid w:val="001E526D"/>
    <w:rsid w:val="001E5655"/>
    <w:rsid w:val="001E63EE"/>
    <w:rsid w:val="001F1832"/>
    <w:rsid w:val="001F220F"/>
    <w:rsid w:val="001F25B3"/>
    <w:rsid w:val="001F448A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640A"/>
    <w:rsid w:val="002501A3"/>
    <w:rsid w:val="0025166C"/>
    <w:rsid w:val="002555D4"/>
    <w:rsid w:val="00261A16"/>
    <w:rsid w:val="00263522"/>
    <w:rsid w:val="00264EC6"/>
    <w:rsid w:val="002661E9"/>
    <w:rsid w:val="00271013"/>
    <w:rsid w:val="00273FE4"/>
    <w:rsid w:val="002765B4"/>
    <w:rsid w:val="00276A94"/>
    <w:rsid w:val="00287F03"/>
    <w:rsid w:val="0029405D"/>
    <w:rsid w:val="00294FA6"/>
    <w:rsid w:val="00295A6F"/>
    <w:rsid w:val="002A20C4"/>
    <w:rsid w:val="002A570F"/>
    <w:rsid w:val="002A594A"/>
    <w:rsid w:val="002A7292"/>
    <w:rsid w:val="002A7358"/>
    <w:rsid w:val="002A7902"/>
    <w:rsid w:val="002B0F6B"/>
    <w:rsid w:val="002B1001"/>
    <w:rsid w:val="002B23B8"/>
    <w:rsid w:val="002B4429"/>
    <w:rsid w:val="002B68A6"/>
    <w:rsid w:val="002B7FAF"/>
    <w:rsid w:val="002C125E"/>
    <w:rsid w:val="002C607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74"/>
    <w:rsid w:val="002F669F"/>
    <w:rsid w:val="00301C97"/>
    <w:rsid w:val="00304709"/>
    <w:rsid w:val="0031004C"/>
    <w:rsid w:val="003105F6"/>
    <w:rsid w:val="00311297"/>
    <w:rsid w:val="003113BE"/>
    <w:rsid w:val="003122CA"/>
    <w:rsid w:val="003141C1"/>
    <w:rsid w:val="003148FD"/>
    <w:rsid w:val="00315E75"/>
    <w:rsid w:val="00321080"/>
    <w:rsid w:val="00322D45"/>
    <w:rsid w:val="003255D8"/>
    <w:rsid w:val="0032569A"/>
    <w:rsid w:val="00325A1F"/>
    <w:rsid w:val="003268F9"/>
    <w:rsid w:val="00330BAF"/>
    <w:rsid w:val="00334E3A"/>
    <w:rsid w:val="003356A5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4006"/>
    <w:rsid w:val="0037727C"/>
    <w:rsid w:val="00377E70"/>
    <w:rsid w:val="00380904"/>
    <w:rsid w:val="003823EE"/>
    <w:rsid w:val="00382960"/>
    <w:rsid w:val="003838A3"/>
    <w:rsid w:val="003846F7"/>
    <w:rsid w:val="003851ED"/>
    <w:rsid w:val="00385B39"/>
    <w:rsid w:val="00386785"/>
    <w:rsid w:val="00390DF4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6B3E"/>
    <w:rsid w:val="003A7A63"/>
    <w:rsid w:val="003B000C"/>
    <w:rsid w:val="003B0F1D"/>
    <w:rsid w:val="003B3955"/>
    <w:rsid w:val="003B4A57"/>
    <w:rsid w:val="003C0AD9"/>
    <w:rsid w:val="003C0ED0"/>
    <w:rsid w:val="003C1D49"/>
    <w:rsid w:val="003C35C4"/>
    <w:rsid w:val="003C5D70"/>
    <w:rsid w:val="003D12C2"/>
    <w:rsid w:val="003D31B9"/>
    <w:rsid w:val="003D3867"/>
    <w:rsid w:val="003E0D1A"/>
    <w:rsid w:val="003E2DA3"/>
    <w:rsid w:val="003E6919"/>
    <w:rsid w:val="003F020D"/>
    <w:rsid w:val="003F03D9"/>
    <w:rsid w:val="003F2FBE"/>
    <w:rsid w:val="003F318D"/>
    <w:rsid w:val="003F5BAE"/>
    <w:rsid w:val="003F6DEA"/>
    <w:rsid w:val="003F6ED7"/>
    <w:rsid w:val="003F766B"/>
    <w:rsid w:val="00401C84"/>
    <w:rsid w:val="00403210"/>
    <w:rsid w:val="004035BB"/>
    <w:rsid w:val="004035EB"/>
    <w:rsid w:val="00407332"/>
    <w:rsid w:val="00407828"/>
    <w:rsid w:val="00410488"/>
    <w:rsid w:val="00411303"/>
    <w:rsid w:val="00413D8E"/>
    <w:rsid w:val="004140F2"/>
    <w:rsid w:val="00417515"/>
    <w:rsid w:val="00417B22"/>
    <w:rsid w:val="00421085"/>
    <w:rsid w:val="0042465E"/>
    <w:rsid w:val="00424DF7"/>
    <w:rsid w:val="00432B76"/>
    <w:rsid w:val="00434D01"/>
    <w:rsid w:val="00435D26"/>
    <w:rsid w:val="00436200"/>
    <w:rsid w:val="00440C99"/>
    <w:rsid w:val="0044175C"/>
    <w:rsid w:val="00445F4D"/>
    <w:rsid w:val="004504C0"/>
    <w:rsid w:val="004550B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002"/>
    <w:rsid w:val="0047207C"/>
    <w:rsid w:val="00472CD6"/>
    <w:rsid w:val="00474E3C"/>
    <w:rsid w:val="00480A58"/>
    <w:rsid w:val="00481D0B"/>
    <w:rsid w:val="00482151"/>
    <w:rsid w:val="004824EF"/>
    <w:rsid w:val="00485FAD"/>
    <w:rsid w:val="004871EE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1BF"/>
    <w:rsid w:val="004B5B2F"/>
    <w:rsid w:val="004B626A"/>
    <w:rsid w:val="004B660E"/>
    <w:rsid w:val="004C05BD"/>
    <w:rsid w:val="004C22F2"/>
    <w:rsid w:val="004C3B06"/>
    <w:rsid w:val="004C3F97"/>
    <w:rsid w:val="004C4CC6"/>
    <w:rsid w:val="004C6A02"/>
    <w:rsid w:val="004C7EE7"/>
    <w:rsid w:val="004C7F3C"/>
    <w:rsid w:val="004D2DEE"/>
    <w:rsid w:val="004D2E1F"/>
    <w:rsid w:val="004D74ED"/>
    <w:rsid w:val="004D7FD9"/>
    <w:rsid w:val="004E1324"/>
    <w:rsid w:val="004E19A5"/>
    <w:rsid w:val="004E37E5"/>
    <w:rsid w:val="004E3FDB"/>
    <w:rsid w:val="004E5BE8"/>
    <w:rsid w:val="004F11DA"/>
    <w:rsid w:val="004F1CBB"/>
    <w:rsid w:val="004F1F4A"/>
    <w:rsid w:val="004F296D"/>
    <w:rsid w:val="004F409F"/>
    <w:rsid w:val="004F508B"/>
    <w:rsid w:val="004F695F"/>
    <w:rsid w:val="004F6CA4"/>
    <w:rsid w:val="00500752"/>
    <w:rsid w:val="00501A50"/>
    <w:rsid w:val="0050222D"/>
    <w:rsid w:val="00503AF3"/>
    <w:rsid w:val="00505946"/>
    <w:rsid w:val="0050696D"/>
    <w:rsid w:val="0051094B"/>
    <w:rsid w:val="005110D7"/>
    <w:rsid w:val="00511D99"/>
    <w:rsid w:val="005128D3"/>
    <w:rsid w:val="00513F26"/>
    <w:rsid w:val="0051451E"/>
    <w:rsid w:val="005147E8"/>
    <w:rsid w:val="005158F2"/>
    <w:rsid w:val="00526DFC"/>
    <w:rsid w:val="00526F43"/>
    <w:rsid w:val="00527651"/>
    <w:rsid w:val="00534D80"/>
    <w:rsid w:val="00534F70"/>
    <w:rsid w:val="005363AB"/>
    <w:rsid w:val="005405BB"/>
    <w:rsid w:val="00540CB0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F29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46F"/>
    <w:rsid w:val="00585044"/>
    <w:rsid w:val="00585F33"/>
    <w:rsid w:val="00591124"/>
    <w:rsid w:val="00594206"/>
    <w:rsid w:val="00596848"/>
    <w:rsid w:val="00597024"/>
    <w:rsid w:val="005A0274"/>
    <w:rsid w:val="005A095C"/>
    <w:rsid w:val="005A669D"/>
    <w:rsid w:val="005A75D8"/>
    <w:rsid w:val="005B0051"/>
    <w:rsid w:val="005B0721"/>
    <w:rsid w:val="005B713E"/>
    <w:rsid w:val="005C03B6"/>
    <w:rsid w:val="005C348E"/>
    <w:rsid w:val="005C68E1"/>
    <w:rsid w:val="005D3763"/>
    <w:rsid w:val="005D55E1"/>
    <w:rsid w:val="005E0AC6"/>
    <w:rsid w:val="005E1689"/>
    <w:rsid w:val="005E19F7"/>
    <w:rsid w:val="005E4F04"/>
    <w:rsid w:val="005E62C2"/>
    <w:rsid w:val="005E6C71"/>
    <w:rsid w:val="005F0963"/>
    <w:rsid w:val="005F2824"/>
    <w:rsid w:val="005F2EBA"/>
    <w:rsid w:val="005F35ED"/>
    <w:rsid w:val="005F4187"/>
    <w:rsid w:val="005F7812"/>
    <w:rsid w:val="005F7A88"/>
    <w:rsid w:val="00600759"/>
    <w:rsid w:val="00600EB1"/>
    <w:rsid w:val="00602F56"/>
    <w:rsid w:val="0060333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09E9"/>
    <w:rsid w:val="00641921"/>
    <w:rsid w:val="00642A65"/>
    <w:rsid w:val="00645DCE"/>
    <w:rsid w:val="006465AC"/>
    <w:rsid w:val="006465BF"/>
    <w:rsid w:val="00647C42"/>
    <w:rsid w:val="00653B22"/>
    <w:rsid w:val="00654092"/>
    <w:rsid w:val="00657BF4"/>
    <w:rsid w:val="006603FB"/>
    <w:rsid w:val="006608DF"/>
    <w:rsid w:val="006623AC"/>
    <w:rsid w:val="00662DC3"/>
    <w:rsid w:val="00663991"/>
    <w:rsid w:val="00664286"/>
    <w:rsid w:val="006678AF"/>
    <w:rsid w:val="006701EF"/>
    <w:rsid w:val="00673BA5"/>
    <w:rsid w:val="00675FC7"/>
    <w:rsid w:val="00680058"/>
    <w:rsid w:val="00681F9F"/>
    <w:rsid w:val="006840EA"/>
    <w:rsid w:val="006844E2"/>
    <w:rsid w:val="00685267"/>
    <w:rsid w:val="00686056"/>
    <w:rsid w:val="006872AE"/>
    <w:rsid w:val="00690082"/>
    <w:rsid w:val="00690252"/>
    <w:rsid w:val="006946BB"/>
    <w:rsid w:val="006969FA"/>
    <w:rsid w:val="006A1DF1"/>
    <w:rsid w:val="006A35D5"/>
    <w:rsid w:val="006A748A"/>
    <w:rsid w:val="006B6DA9"/>
    <w:rsid w:val="006C419E"/>
    <w:rsid w:val="006C4A31"/>
    <w:rsid w:val="006C5AC2"/>
    <w:rsid w:val="006C6AFB"/>
    <w:rsid w:val="006D0C4B"/>
    <w:rsid w:val="006D1056"/>
    <w:rsid w:val="006D1E8C"/>
    <w:rsid w:val="006D2735"/>
    <w:rsid w:val="006D3DEE"/>
    <w:rsid w:val="006D45B2"/>
    <w:rsid w:val="006D74B3"/>
    <w:rsid w:val="006E0FCC"/>
    <w:rsid w:val="006E1E96"/>
    <w:rsid w:val="006E3099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2BB"/>
    <w:rsid w:val="00711221"/>
    <w:rsid w:val="00711F80"/>
    <w:rsid w:val="00712675"/>
    <w:rsid w:val="00713808"/>
    <w:rsid w:val="007151B6"/>
    <w:rsid w:val="0071520D"/>
    <w:rsid w:val="00715EDB"/>
    <w:rsid w:val="007160D5"/>
    <w:rsid w:val="007163FB"/>
    <w:rsid w:val="00717C2E"/>
    <w:rsid w:val="007201B6"/>
    <w:rsid w:val="007204FA"/>
    <w:rsid w:val="007213B3"/>
    <w:rsid w:val="0072457F"/>
    <w:rsid w:val="00725406"/>
    <w:rsid w:val="0072621B"/>
    <w:rsid w:val="00730555"/>
    <w:rsid w:val="007312CC"/>
    <w:rsid w:val="00735C9D"/>
    <w:rsid w:val="00736A64"/>
    <w:rsid w:val="00737F6A"/>
    <w:rsid w:val="007410B6"/>
    <w:rsid w:val="00744C6F"/>
    <w:rsid w:val="007457F6"/>
    <w:rsid w:val="00745ABB"/>
    <w:rsid w:val="0074671E"/>
    <w:rsid w:val="00746E38"/>
    <w:rsid w:val="00747CD5"/>
    <w:rsid w:val="0075275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106"/>
    <w:rsid w:val="00776DC2"/>
    <w:rsid w:val="00780122"/>
    <w:rsid w:val="0078214B"/>
    <w:rsid w:val="0078498A"/>
    <w:rsid w:val="00792207"/>
    <w:rsid w:val="00792B64"/>
    <w:rsid w:val="00792E29"/>
    <w:rsid w:val="0079379A"/>
    <w:rsid w:val="00794739"/>
    <w:rsid w:val="00794953"/>
    <w:rsid w:val="007A1F2F"/>
    <w:rsid w:val="007A2A5C"/>
    <w:rsid w:val="007A5150"/>
    <w:rsid w:val="007A5373"/>
    <w:rsid w:val="007A789F"/>
    <w:rsid w:val="007B75BC"/>
    <w:rsid w:val="007C0BD6"/>
    <w:rsid w:val="007C3577"/>
    <w:rsid w:val="007C3806"/>
    <w:rsid w:val="007C3FDC"/>
    <w:rsid w:val="007C5BB7"/>
    <w:rsid w:val="007C7F4F"/>
    <w:rsid w:val="007D07D5"/>
    <w:rsid w:val="007D1C64"/>
    <w:rsid w:val="007D32DD"/>
    <w:rsid w:val="007D4F73"/>
    <w:rsid w:val="007D6DCE"/>
    <w:rsid w:val="007D72C4"/>
    <w:rsid w:val="007E2CFE"/>
    <w:rsid w:val="007E59C9"/>
    <w:rsid w:val="007F0072"/>
    <w:rsid w:val="007F0D2C"/>
    <w:rsid w:val="007F2EB6"/>
    <w:rsid w:val="007F54C3"/>
    <w:rsid w:val="00802949"/>
    <w:rsid w:val="0080301E"/>
    <w:rsid w:val="0080365F"/>
    <w:rsid w:val="0080456F"/>
    <w:rsid w:val="0081226B"/>
    <w:rsid w:val="00812BE5"/>
    <w:rsid w:val="00817429"/>
    <w:rsid w:val="00821514"/>
    <w:rsid w:val="00821E35"/>
    <w:rsid w:val="008222B2"/>
    <w:rsid w:val="00824591"/>
    <w:rsid w:val="00824AED"/>
    <w:rsid w:val="00827820"/>
    <w:rsid w:val="00831B8B"/>
    <w:rsid w:val="00832AD1"/>
    <w:rsid w:val="0083405D"/>
    <w:rsid w:val="008352D4"/>
    <w:rsid w:val="00836DB9"/>
    <w:rsid w:val="00837C67"/>
    <w:rsid w:val="008415B0"/>
    <w:rsid w:val="00842028"/>
    <w:rsid w:val="008436B8"/>
    <w:rsid w:val="008460B6"/>
    <w:rsid w:val="00846665"/>
    <w:rsid w:val="00850C9D"/>
    <w:rsid w:val="00852B59"/>
    <w:rsid w:val="00854823"/>
    <w:rsid w:val="00856272"/>
    <w:rsid w:val="008563FF"/>
    <w:rsid w:val="0086018B"/>
    <w:rsid w:val="008611DD"/>
    <w:rsid w:val="00861271"/>
    <w:rsid w:val="00861B41"/>
    <w:rsid w:val="008620DE"/>
    <w:rsid w:val="00866867"/>
    <w:rsid w:val="00872257"/>
    <w:rsid w:val="008753E6"/>
    <w:rsid w:val="00875C1E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A9F"/>
    <w:rsid w:val="00894F19"/>
    <w:rsid w:val="00896A10"/>
    <w:rsid w:val="008971B5"/>
    <w:rsid w:val="00897C3A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4B6"/>
    <w:rsid w:val="008E78A3"/>
    <w:rsid w:val="008F0654"/>
    <w:rsid w:val="008F06CB"/>
    <w:rsid w:val="008F2E83"/>
    <w:rsid w:val="008F44B9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357"/>
    <w:rsid w:val="00917CE5"/>
    <w:rsid w:val="009217C0"/>
    <w:rsid w:val="00925241"/>
    <w:rsid w:val="00925CEC"/>
    <w:rsid w:val="00926A3F"/>
    <w:rsid w:val="0092794E"/>
    <w:rsid w:val="00930D30"/>
    <w:rsid w:val="009332A2"/>
    <w:rsid w:val="009358ED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7C8"/>
    <w:rsid w:val="00965F88"/>
    <w:rsid w:val="00966DDF"/>
    <w:rsid w:val="00984E03"/>
    <w:rsid w:val="00986075"/>
    <w:rsid w:val="009876C5"/>
    <w:rsid w:val="00987E85"/>
    <w:rsid w:val="00990AA8"/>
    <w:rsid w:val="009A0D12"/>
    <w:rsid w:val="009A1987"/>
    <w:rsid w:val="009A2BEE"/>
    <w:rsid w:val="009A5289"/>
    <w:rsid w:val="009A65DC"/>
    <w:rsid w:val="009A7A53"/>
    <w:rsid w:val="009B0402"/>
    <w:rsid w:val="009B0B75"/>
    <w:rsid w:val="009B16DF"/>
    <w:rsid w:val="009B4CB2"/>
    <w:rsid w:val="009B6701"/>
    <w:rsid w:val="009B695C"/>
    <w:rsid w:val="009B6EF7"/>
    <w:rsid w:val="009B7000"/>
    <w:rsid w:val="009B739C"/>
    <w:rsid w:val="009C04EC"/>
    <w:rsid w:val="009C328C"/>
    <w:rsid w:val="009C3399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054"/>
    <w:rsid w:val="009F501D"/>
    <w:rsid w:val="00A039D5"/>
    <w:rsid w:val="00A046AD"/>
    <w:rsid w:val="00A053CC"/>
    <w:rsid w:val="00A0685D"/>
    <w:rsid w:val="00A079C1"/>
    <w:rsid w:val="00A11FCD"/>
    <w:rsid w:val="00A12520"/>
    <w:rsid w:val="00A12A72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DB7"/>
    <w:rsid w:val="00A37E70"/>
    <w:rsid w:val="00A41758"/>
    <w:rsid w:val="00A437E1"/>
    <w:rsid w:val="00A4481C"/>
    <w:rsid w:val="00A4685E"/>
    <w:rsid w:val="00A4751E"/>
    <w:rsid w:val="00A50CD4"/>
    <w:rsid w:val="00A51191"/>
    <w:rsid w:val="00A546A6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871"/>
    <w:rsid w:val="00A75A8E"/>
    <w:rsid w:val="00A77AF0"/>
    <w:rsid w:val="00A77CA1"/>
    <w:rsid w:val="00A824DD"/>
    <w:rsid w:val="00A83676"/>
    <w:rsid w:val="00A83B7B"/>
    <w:rsid w:val="00A84274"/>
    <w:rsid w:val="00A850F3"/>
    <w:rsid w:val="00A864E3"/>
    <w:rsid w:val="00A8696A"/>
    <w:rsid w:val="00A86AA1"/>
    <w:rsid w:val="00A87C2E"/>
    <w:rsid w:val="00A9375C"/>
    <w:rsid w:val="00A94574"/>
    <w:rsid w:val="00A95936"/>
    <w:rsid w:val="00A96265"/>
    <w:rsid w:val="00A97084"/>
    <w:rsid w:val="00AA1C2C"/>
    <w:rsid w:val="00AA1CF6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795"/>
    <w:rsid w:val="00AB67FC"/>
    <w:rsid w:val="00AC00F2"/>
    <w:rsid w:val="00AC31B5"/>
    <w:rsid w:val="00AC4EA1"/>
    <w:rsid w:val="00AC5381"/>
    <w:rsid w:val="00AC5920"/>
    <w:rsid w:val="00AD0E65"/>
    <w:rsid w:val="00AD2BF2"/>
    <w:rsid w:val="00AD319C"/>
    <w:rsid w:val="00AD4E90"/>
    <w:rsid w:val="00AD5422"/>
    <w:rsid w:val="00AD6A19"/>
    <w:rsid w:val="00AE4179"/>
    <w:rsid w:val="00AE4425"/>
    <w:rsid w:val="00AE4A36"/>
    <w:rsid w:val="00AE4FBE"/>
    <w:rsid w:val="00AE650F"/>
    <w:rsid w:val="00AE6555"/>
    <w:rsid w:val="00AE7D16"/>
    <w:rsid w:val="00AF4479"/>
    <w:rsid w:val="00AF4CAA"/>
    <w:rsid w:val="00AF571A"/>
    <w:rsid w:val="00AF60A0"/>
    <w:rsid w:val="00AF67FC"/>
    <w:rsid w:val="00AF76E4"/>
    <w:rsid w:val="00AF7DF5"/>
    <w:rsid w:val="00B000C2"/>
    <w:rsid w:val="00B006E5"/>
    <w:rsid w:val="00B024C2"/>
    <w:rsid w:val="00B03F94"/>
    <w:rsid w:val="00B057B8"/>
    <w:rsid w:val="00B07700"/>
    <w:rsid w:val="00B07899"/>
    <w:rsid w:val="00B110B2"/>
    <w:rsid w:val="00B13921"/>
    <w:rsid w:val="00B1528C"/>
    <w:rsid w:val="00B16ACD"/>
    <w:rsid w:val="00B206B4"/>
    <w:rsid w:val="00B21487"/>
    <w:rsid w:val="00B232D1"/>
    <w:rsid w:val="00B24DB5"/>
    <w:rsid w:val="00B31F9E"/>
    <w:rsid w:val="00B32176"/>
    <w:rsid w:val="00B3268F"/>
    <w:rsid w:val="00B32C2C"/>
    <w:rsid w:val="00B33A1A"/>
    <w:rsid w:val="00B33E6C"/>
    <w:rsid w:val="00B371CC"/>
    <w:rsid w:val="00B41CD9"/>
    <w:rsid w:val="00B427E6"/>
    <w:rsid w:val="00B428A6"/>
    <w:rsid w:val="00B43021"/>
    <w:rsid w:val="00B43E1F"/>
    <w:rsid w:val="00B45FBC"/>
    <w:rsid w:val="00B46BD7"/>
    <w:rsid w:val="00B51A7D"/>
    <w:rsid w:val="00B535C2"/>
    <w:rsid w:val="00B55544"/>
    <w:rsid w:val="00B63CEE"/>
    <w:rsid w:val="00B642FC"/>
    <w:rsid w:val="00B64D26"/>
    <w:rsid w:val="00B64FBB"/>
    <w:rsid w:val="00B70E22"/>
    <w:rsid w:val="00B71984"/>
    <w:rsid w:val="00B71B3E"/>
    <w:rsid w:val="00B72BEC"/>
    <w:rsid w:val="00B774CB"/>
    <w:rsid w:val="00B77DFE"/>
    <w:rsid w:val="00B800AB"/>
    <w:rsid w:val="00B80402"/>
    <w:rsid w:val="00B80B9A"/>
    <w:rsid w:val="00B81765"/>
    <w:rsid w:val="00B830B7"/>
    <w:rsid w:val="00B848EA"/>
    <w:rsid w:val="00B84B2B"/>
    <w:rsid w:val="00B85BCC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E8B"/>
    <w:rsid w:val="00BE0C44"/>
    <w:rsid w:val="00BE1427"/>
    <w:rsid w:val="00BE1B8B"/>
    <w:rsid w:val="00BE2A18"/>
    <w:rsid w:val="00BE2C01"/>
    <w:rsid w:val="00BE41EC"/>
    <w:rsid w:val="00BE567A"/>
    <w:rsid w:val="00BE56FB"/>
    <w:rsid w:val="00BF3DDE"/>
    <w:rsid w:val="00BF6589"/>
    <w:rsid w:val="00BF6F7F"/>
    <w:rsid w:val="00BF7F76"/>
    <w:rsid w:val="00C00647"/>
    <w:rsid w:val="00C02764"/>
    <w:rsid w:val="00C02DCB"/>
    <w:rsid w:val="00C04CEF"/>
    <w:rsid w:val="00C0662F"/>
    <w:rsid w:val="00C11943"/>
    <w:rsid w:val="00C12E96"/>
    <w:rsid w:val="00C13517"/>
    <w:rsid w:val="00C14763"/>
    <w:rsid w:val="00C16141"/>
    <w:rsid w:val="00C16216"/>
    <w:rsid w:val="00C224A2"/>
    <w:rsid w:val="00C2363F"/>
    <w:rsid w:val="00C236C8"/>
    <w:rsid w:val="00C260B1"/>
    <w:rsid w:val="00C26E56"/>
    <w:rsid w:val="00C31406"/>
    <w:rsid w:val="00C37194"/>
    <w:rsid w:val="00C378D5"/>
    <w:rsid w:val="00C40637"/>
    <w:rsid w:val="00C40F6C"/>
    <w:rsid w:val="00C41DCB"/>
    <w:rsid w:val="00C44426"/>
    <w:rsid w:val="00C445F3"/>
    <w:rsid w:val="00C451F4"/>
    <w:rsid w:val="00C45EB1"/>
    <w:rsid w:val="00C460D7"/>
    <w:rsid w:val="00C461C6"/>
    <w:rsid w:val="00C54A3A"/>
    <w:rsid w:val="00C55566"/>
    <w:rsid w:val="00C55763"/>
    <w:rsid w:val="00C55D53"/>
    <w:rsid w:val="00C56448"/>
    <w:rsid w:val="00C667BE"/>
    <w:rsid w:val="00C6766B"/>
    <w:rsid w:val="00C67B84"/>
    <w:rsid w:val="00C72223"/>
    <w:rsid w:val="00C760DC"/>
    <w:rsid w:val="00C76417"/>
    <w:rsid w:val="00C7726F"/>
    <w:rsid w:val="00C81258"/>
    <w:rsid w:val="00C823DA"/>
    <w:rsid w:val="00C8259F"/>
    <w:rsid w:val="00C82746"/>
    <w:rsid w:val="00C8312F"/>
    <w:rsid w:val="00C84C47"/>
    <w:rsid w:val="00C84D99"/>
    <w:rsid w:val="00C858A4"/>
    <w:rsid w:val="00C86AFA"/>
    <w:rsid w:val="00C92012"/>
    <w:rsid w:val="00C951BB"/>
    <w:rsid w:val="00CB18D0"/>
    <w:rsid w:val="00CB1C8A"/>
    <w:rsid w:val="00CB24F5"/>
    <w:rsid w:val="00CB2663"/>
    <w:rsid w:val="00CB3BBE"/>
    <w:rsid w:val="00CB59E9"/>
    <w:rsid w:val="00CC0D6A"/>
    <w:rsid w:val="00CC1E3B"/>
    <w:rsid w:val="00CC25C9"/>
    <w:rsid w:val="00CC3831"/>
    <w:rsid w:val="00CC3E3D"/>
    <w:rsid w:val="00CC3FB2"/>
    <w:rsid w:val="00CC519B"/>
    <w:rsid w:val="00CD12C1"/>
    <w:rsid w:val="00CD214E"/>
    <w:rsid w:val="00CD46FA"/>
    <w:rsid w:val="00CD5973"/>
    <w:rsid w:val="00CD77D3"/>
    <w:rsid w:val="00CE31A6"/>
    <w:rsid w:val="00CF09AA"/>
    <w:rsid w:val="00CF400A"/>
    <w:rsid w:val="00CF4813"/>
    <w:rsid w:val="00CF5233"/>
    <w:rsid w:val="00CF7763"/>
    <w:rsid w:val="00D01CD0"/>
    <w:rsid w:val="00D029B8"/>
    <w:rsid w:val="00D02F60"/>
    <w:rsid w:val="00D0464E"/>
    <w:rsid w:val="00D04A96"/>
    <w:rsid w:val="00D07A7B"/>
    <w:rsid w:val="00D10E06"/>
    <w:rsid w:val="00D130E1"/>
    <w:rsid w:val="00D14075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9C1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77F"/>
    <w:rsid w:val="00D95017"/>
    <w:rsid w:val="00D9505D"/>
    <w:rsid w:val="00D953D0"/>
    <w:rsid w:val="00D955CD"/>
    <w:rsid w:val="00D959F5"/>
    <w:rsid w:val="00D96884"/>
    <w:rsid w:val="00DA3FDD"/>
    <w:rsid w:val="00DA5BC6"/>
    <w:rsid w:val="00DA7017"/>
    <w:rsid w:val="00DA7028"/>
    <w:rsid w:val="00DA75E6"/>
    <w:rsid w:val="00DB182E"/>
    <w:rsid w:val="00DB1AD2"/>
    <w:rsid w:val="00DB2B58"/>
    <w:rsid w:val="00DB5206"/>
    <w:rsid w:val="00DB6276"/>
    <w:rsid w:val="00DB63F5"/>
    <w:rsid w:val="00DC1C6B"/>
    <w:rsid w:val="00DC2C2E"/>
    <w:rsid w:val="00DC4AF0"/>
    <w:rsid w:val="00DC710C"/>
    <w:rsid w:val="00DC7886"/>
    <w:rsid w:val="00DD0CF2"/>
    <w:rsid w:val="00DD1206"/>
    <w:rsid w:val="00DE1554"/>
    <w:rsid w:val="00DE2901"/>
    <w:rsid w:val="00DE590F"/>
    <w:rsid w:val="00DE7DC1"/>
    <w:rsid w:val="00DF3F7E"/>
    <w:rsid w:val="00DF590A"/>
    <w:rsid w:val="00DF7648"/>
    <w:rsid w:val="00E00E29"/>
    <w:rsid w:val="00E02BAB"/>
    <w:rsid w:val="00E02DC4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10F"/>
    <w:rsid w:val="00E26569"/>
    <w:rsid w:val="00E276AC"/>
    <w:rsid w:val="00E34A35"/>
    <w:rsid w:val="00E37C2F"/>
    <w:rsid w:val="00E41C28"/>
    <w:rsid w:val="00E42BF6"/>
    <w:rsid w:val="00E46308"/>
    <w:rsid w:val="00E51E17"/>
    <w:rsid w:val="00E52DAB"/>
    <w:rsid w:val="00E539B0"/>
    <w:rsid w:val="00E55994"/>
    <w:rsid w:val="00E60606"/>
    <w:rsid w:val="00E60C66"/>
    <w:rsid w:val="00E6164D"/>
    <w:rsid w:val="00E617C6"/>
    <w:rsid w:val="00E618C9"/>
    <w:rsid w:val="00E62494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A5E"/>
    <w:rsid w:val="00E91FAE"/>
    <w:rsid w:val="00E93558"/>
    <w:rsid w:val="00E96E3F"/>
    <w:rsid w:val="00EA270C"/>
    <w:rsid w:val="00EA4974"/>
    <w:rsid w:val="00EA532E"/>
    <w:rsid w:val="00EB06D9"/>
    <w:rsid w:val="00EB192B"/>
    <w:rsid w:val="00EB19ED"/>
    <w:rsid w:val="00EB1CAB"/>
    <w:rsid w:val="00EB5A63"/>
    <w:rsid w:val="00EC0F5A"/>
    <w:rsid w:val="00EC2278"/>
    <w:rsid w:val="00EC4265"/>
    <w:rsid w:val="00EC4CEB"/>
    <w:rsid w:val="00EC659E"/>
    <w:rsid w:val="00ED2072"/>
    <w:rsid w:val="00ED2AE0"/>
    <w:rsid w:val="00ED5553"/>
    <w:rsid w:val="00ED5E36"/>
    <w:rsid w:val="00ED6961"/>
    <w:rsid w:val="00EE6A24"/>
    <w:rsid w:val="00EF0B96"/>
    <w:rsid w:val="00EF3486"/>
    <w:rsid w:val="00EF47AF"/>
    <w:rsid w:val="00EF53B6"/>
    <w:rsid w:val="00EF55D3"/>
    <w:rsid w:val="00F004A7"/>
    <w:rsid w:val="00F00B73"/>
    <w:rsid w:val="00F0406D"/>
    <w:rsid w:val="00F115CA"/>
    <w:rsid w:val="00F13157"/>
    <w:rsid w:val="00F14817"/>
    <w:rsid w:val="00F14EBA"/>
    <w:rsid w:val="00F1510F"/>
    <w:rsid w:val="00F1533A"/>
    <w:rsid w:val="00F15E5A"/>
    <w:rsid w:val="00F17F0A"/>
    <w:rsid w:val="00F20A97"/>
    <w:rsid w:val="00F2668F"/>
    <w:rsid w:val="00F2742F"/>
    <w:rsid w:val="00F2753B"/>
    <w:rsid w:val="00F325B2"/>
    <w:rsid w:val="00F32CDD"/>
    <w:rsid w:val="00F33F8B"/>
    <w:rsid w:val="00F340B2"/>
    <w:rsid w:val="00F368E0"/>
    <w:rsid w:val="00F404D7"/>
    <w:rsid w:val="00F43390"/>
    <w:rsid w:val="00F443B2"/>
    <w:rsid w:val="00F45448"/>
    <w:rsid w:val="00F458D8"/>
    <w:rsid w:val="00F462B2"/>
    <w:rsid w:val="00F50237"/>
    <w:rsid w:val="00F50770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9FC"/>
    <w:rsid w:val="00F92C0A"/>
    <w:rsid w:val="00F9415B"/>
    <w:rsid w:val="00F979EA"/>
    <w:rsid w:val="00FA13C2"/>
    <w:rsid w:val="00FA7F91"/>
    <w:rsid w:val="00FB121C"/>
    <w:rsid w:val="00FB1CDD"/>
    <w:rsid w:val="00FB2C2F"/>
    <w:rsid w:val="00FB305C"/>
    <w:rsid w:val="00FC2E3D"/>
    <w:rsid w:val="00FC3BDE"/>
    <w:rsid w:val="00FC64A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58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2250A"/>
  <w15:docId w15:val="{9AB10321-EF31-40CB-B57C-33F1574A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77210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2106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F1CB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aliases w:val="Bullet1,Styl moj,Akapit z listą11"/>
    <w:basedOn w:val="Normalny"/>
    <w:uiPriority w:val="34"/>
    <w:qFormat/>
    <w:rsid w:val="00CC1E3B"/>
    <w:pPr>
      <w:spacing w:line="240" w:lineRule="auto"/>
      <w:ind w:left="720"/>
      <w:contextualSpacing/>
    </w:pPr>
    <w:rPr>
      <w:rFonts w:ascii="A" w:hAnsi="A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00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001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udziszew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5C0820-EFEA-42C5-B8AC-7B5119D8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12</Pages>
  <Words>3604</Words>
  <Characters>21627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Maliszewska Dorota</dc:creator>
  <cp:lastModifiedBy>Katarzyna Chrobocińska</cp:lastModifiedBy>
  <cp:revision>2</cp:revision>
  <cp:lastPrinted>2017-12-13T15:15:00Z</cp:lastPrinted>
  <dcterms:created xsi:type="dcterms:W3CDTF">2018-01-04T12:46:00Z</dcterms:created>
  <dcterms:modified xsi:type="dcterms:W3CDTF">2018-01-04T12:46:00Z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