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8CEC3" w14:textId="648A7438" w:rsidR="00104331" w:rsidRPr="00104331" w:rsidRDefault="00104331" w:rsidP="009F1F19">
      <w:pPr>
        <w:pStyle w:val="OZNPROJEKTUwskazaniedatylubwersjiprojektu"/>
      </w:pPr>
      <w:bookmarkStart w:id="0" w:name="_GoBack"/>
      <w:bookmarkEnd w:id="0"/>
      <w:r w:rsidRPr="00104331">
        <w:t xml:space="preserve">Projekt z dnia </w:t>
      </w:r>
      <w:r w:rsidR="00A01CD5">
        <w:t>29</w:t>
      </w:r>
      <w:r w:rsidR="00842BD1">
        <w:t xml:space="preserve"> </w:t>
      </w:r>
      <w:r w:rsidR="007247A8">
        <w:t>listopada</w:t>
      </w:r>
      <w:r w:rsidRPr="00104331">
        <w:t xml:space="preserve"> 2016 r.</w:t>
      </w:r>
    </w:p>
    <w:p w14:paraId="5341029A" w14:textId="77777777" w:rsidR="00104331" w:rsidRPr="009F1F19" w:rsidRDefault="00104331" w:rsidP="009F1F19">
      <w:pPr>
        <w:pStyle w:val="OZNRODZAKTUtznustawalubrozporzdzenieiorganwydajcy"/>
      </w:pPr>
      <w:r w:rsidRPr="009F1F19">
        <w:t>ROZPORZĄDZENIE</w:t>
      </w:r>
    </w:p>
    <w:p w14:paraId="000DC037" w14:textId="77777777" w:rsidR="00104331" w:rsidRPr="00D34430" w:rsidRDefault="00104331" w:rsidP="009F1F19">
      <w:pPr>
        <w:pStyle w:val="OZNRODZAKTUtznustawalubrozporzdzenieiorganwydajcy"/>
        <w:rPr>
          <w:rStyle w:val="IIGindeksgrnyindeksugrnego"/>
        </w:rPr>
      </w:pPr>
      <w:r w:rsidRPr="009F1F19">
        <w:t>MINISTRA ZDROWIA</w:t>
      </w:r>
      <w:r w:rsidRPr="00D34430">
        <w:rPr>
          <w:rStyle w:val="IIGindeksgrnyindeksugrnego"/>
        </w:rPr>
        <w:footnoteReference w:customMarkFollows="1" w:id="1"/>
        <w:t>1</w:t>
      </w:r>
      <w:r w:rsidRPr="006D3602">
        <w:rPr>
          <w:rStyle w:val="IIGindeksgrnyindeksugrnego"/>
        </w:rPr>
        <w:t>)</w:t>
      </w:r>
    </w:p>
    <w:p w14:paraId="2A93B188" w14:textId="500FCED2" w:rsidR="00D20885" w:rsidRPr="00D20885" w:rsidRDefault="00104331" w:rsidP="00D20885">
      <w:pPr>
        <w:pStyle w:val="DATAAKTUdatauchwalenialubwydaniaaktu"/>
      </w:pPr>
      <w:r w:rsidRPr="007D4E97">
        <w:t>z dnia …</w:t>
      </w:r>
      <w:r w:rsidR="007247A8" w:rsidRPr="007D4E97">
        <w:t>…………………</w:t>
      </w:r>
      <w:r w:rsidRPr="007D4E97">
        <w:t xml:space="preserve">…. </w:t>
      </w:r>
      <w:r w:rsidR="007247A8" w:rsidRPr="007D4E97">
        <w:t>201</w:t>
      </w:r>
      <w:r w:rsidR="007247A8">
        <w:t>7</w:t>
      </w:r>
      <w:r w:rsidR="007247A8" w:rsidRPr="007D4E97">
        <w:t xml:space="preserve"> </w:t>
      </w:r>
      <w:r w:rsidRPr="007D4E97">
        <w:t>r.</w:t>
      </w:r>
    </w:p>
    <w:p w14:paraId="7F0E870B" w14:textId="77777777" w:rsidR="001117B8" w:rsidRDefault="00E11C0C" w:rsidP="00527689">
      <w:pPr>
        <w:pStyle w:val="TYTDZPRZEDMprzedmiotregulacjitytuulubdziau"/>
      </w:pPr>
      <w:r w:rsidRPr="001117B8">
        <w:t>w sprawie warunków pobierania krwi od kandydatów na dawców krwi i dawców</w:t>
      </w:r>
    </w:p>
    <w:p w14:paraId="6B5FBA43" w14:textId="097E22E3" w:rsidR="00527689" w:rsidRPr="00527689" w:rsidRDefault="001117B8" w:rsidP="001117B8">
      <w:pPr>
        <w:pStyle w:val="TYTDZPRZEDMprzedmiotregulacjitytuulubdziau"/>
      </w:pPr>
      <w:r w:rsidRPr="001117B8">
        <w:t>krwi</w:t>
      </w:r>
      <w:r w:rsidR="00965528" w:rsidRPr="00A9630F">
        <w:rPr>
          <w:rStyle w:val="IGindeksgrny"/>
        </w:rPr>
        <w:footnoteReference w:id="2"/>
      </w:r>
      <w:r w:rsidR="00965528" w:rsidRPr="00A9630F">
        <w:rPr>
          <w:rStyle w:val="IGindeksgrny"/>
        </w:rPr>
        <w:t>)</w:t>
      </w:r>
    </w:p>
    <w:p w14:paraId="5279938D" w14:textId="77777777" w:rsidR="00527689" w:rsidRPr="00527689" w:rsidRDefault="00527689" w:rsidP="00527689">
      <w:pPr>
        <w:pStyle w:val="NIEARTTEKSTtekstnieartykuowanynppodstprawnarozplubpreambua"/>
      </w:pPr>
      <w:r w:rsidRPr="00527689">
        <w:t xml:space="preserve">Na podstawie art. </w:t>
      </w:r>
      <w:r w:rsidR="001117B8">
        <w:t>16</w:t>
      </w:r>
      <w:r w:rsidRPr="00527689">
        <w:t xml:space="preserve"> ust. </w:t>
      </w:r>
      <w:r w:rsidR="001117B8">
        <w:t>7</w:t>
      </w:r>
      <w:r w:rsidRPr="00527689">
        <w:t xml:space="preserve"> ustawy z dnia 22 sierpnia 1997 r. o publicznej służbie krwi (Dz. U. z 2014 r. poz. 332 oraz z 2016 r. poz. </w:t>
      </w:r>
      <w:r w:rsidR="00083715">
        <w:t>823</w:t>
      </w:r>
      <w:r w:rsidRPr="00527689">
        <w:t>)</w:t>
      </w:r>
      <w:r w:rsidR="00190F3D">
        <w:t xml:space="preserve"> </w:t>
      </w:r>
      <w:r w:rsidRPr="00527689">
        <w:t>zarządza się, co następuje:</w:t>
      </w:r>
    </w:p>
    <w:p w14:paraId="1D1E61C4" w14:textId="77777777" w:rsidR="001117B8" w:rsidRDefault="001117B8" w:rsidP="00734836">
      <w:pPr>
        <w:pStyle w:val="ARTartustawynprozporzdzenia"/>
      </w:pPr>
      <w:r>
        <w:t>§ 1. 1. Rozporządzenie określa:</w:t>
      </w:r>
    </w:p>
    <w:p w14:paraId="31995201" w14:textId="77777777" w:rsidR="001117B8" w:rsidRDefault="001117B8" w:rsidP="00734836">
      <w:pPr>
        <w:pStyle w:val="PKTpunkt"/>
      </w:pPr>
      <w:r>
        <w:t>1)</w:t>
      </w:r>
      <w:r>
        <w:tab/>
        <w:t>kryteria dopuszczenia dawców krwi do oddawania krwi i jej składników;</w:t>
      </w:r>
    </w:p>
    <w:p w14:paraId="61EBB3DF" w14:textId="77777777" w:rsidR="001117B8" w:rsidRDefault="001117B8" w:rsidP="00734836">
      <w:pPr>
        <w:pStyle w:val="PKTpunkt"/>
      </w:pPr>
      <w:r>
        <w:t>2)</w:t>
      </w:r>
      <w:r>
        <w:tab/>
        <w:t>kryteria dyskwalifikacji stosowane wobec kandydatów na dawców krwi i dawców krwi;</w:t>
      </w:r>
    </w:p>
    <w:p w14:paraId="2A60651A" w14:textId="77777777" w:rsidR="001117B8" w:rsidRDefault="001117B8" w:rsidP="00734836">
      <w:pPr>
        <w:pStyle w:val="PKTpunkt"/>
      </w:pPr>
      <w:r>
        <w:t>3)</w:t>
      </w:r>
      <w:r>
        <w:tab/>
        <w:t>sposób informowania kandydata na dawcę krwi i dawcy krwi o dyskwalifikacji i jej przyczynie;</w:t>
      </w:r>
    </w:p>
    <w:p w14:paraId="4F137049" w14:textId="470D14B6" w:rsidR="001117B8" w:rsidRDefault="001117B8" w:rsidP="00734836">
      <w:pPr>
        <w:pStyle w:val="PKTpunkt"/>
      </w:pPr>
      <w:r>
        <w:t>4)</w:t>
      </w:r>
      <w:r>
        <w:tab/>
        <w:t xml:space="preserve">wykaz badań kwalifikacyjnych i badań diagnostycznych, </w:t>
      </w:r>
      <w:r w:rsidR="002C77D8">
        <w:t xml:space="preserve">którym </w:t>
      </w:r>
      <w:r>
        <w:t>poddaje się kandydata na dawcę krwi i dawcę krwi;</w:t>
      </w:r>
    </w:p>
    <w:p w14:paraId="37C77231" w14:textId="77777777" w:rsidR="001117B8" w:rsidRDefault="001117B8" w:rsidP="00734836">
      <w:pPr>
        <w:pStyle w:val="PKTpunkt"/>
      </w:pPr>
      <w:r>
        <w:t>5)</w:t>
      </w:r>
      <w:r>
        <w:tab/>
        <w:t xml:space="preserve">przeciwwskazania do pobrania krwi i jej składników; </w:t>
      </w:r>
    </w:p>
    <w:p w14:paraId="79749B30" w14:textId="77777777" w:rsidR="001117B8" w:rsidRDefault="001117B8" w:rsidP="00734836">
      <w:pPr>
        <w:pStyle w:val="PKTpunkt"/>
      </w:pPr>
      <w:r>
        <w:t>6)</w:t>
      </w:r>
      <w:r>
        <w:tab/>
        <w:t>dopuszczalną ilość oddawanej krwi i jej składników oraz częstotliwość ich oddawania;</w:t>
      </w:r>
    </w:p>
    <w:p w14:paraId="09727508" w14:textId="77777777" w:rsidR="001117B8" w:rsidRDefault="001117B8" w:rsidP="00734836">
      <w:pPr>
        <w:pStyle w:val="PKTpunkt"/>
      </w:pPr>
      <w:r>
        <w:t>7)</w:t>
      </w:r>
      <w:r>
        <w:tab/>
        <w:t>szczegółowe warunki dopuszczenia do zabiegu uodpornienia lub innych zabiegów w celu uzyskania osocza lub surowic diagnostycznych;</w:t>
      </w:r>
    </w:p>
    <w:p w14:paraId="0700594D" w14:textId="6DBF04B7" w:rsidR="001117B8" w:rsidRDefault="001117B8" w:rsidP="00734836">
      <w:pPr>
        <w:pStyle w:val="PKTpunkt"/>
      </w:pPr>
      <w:r>
        <w:t>8)</w:t>
      </w:r>
      <w:r>
        <w:tab/>
        <w:t xml:space="preserve">zakres informacji, które powinny być przekazane kandydatowi na dawcę krwi i dawcy krwi przed jej oddaniem, w szczególności dotyczących roli krwi w organizmie i jej </w:t>
      </w:r>
      <w:r>
        <w:lastRenderedPageBreak/>
        <w:t>znaczenia dla pacjenta, procedury pobrania krwi</w:t>
      </w:r>
      <w:r w:rsidR="002C77D8">
        <w:t xml:space="preserve"> lub jej składników</w:t>
      </w:r>
      <w:r>
        <w:t>, konieczności przeprowadzenia badań kwalifikacyjnych i wywiadu medycznego, przebiegu pobrania krwi lub jej składników, możliwych następstw dla stanu zdrowia dawcy krwi, możliwości rezygnacji przez dawcę z oddania krwi lub jej składników, możliwym sposobie wykorzystania krwi i jej składników, w tym o możliwości ich przetworzenia, umożliwiających wyrażenie zgody na oddanie krwi lub jej składników.</w:t>
      </w:r>
    </w:p>
    <w:p w14:paraId="336E8496" w14:textId="77777777" w:rsidR="001117B8" w:rsidRDefault="001117B8" w:rsidP="00734836">
      <w:pPr>
        <w:pStyle w:val="USTustnpkodeksu"/>
      </w:pPr>
      <w:r>
        <w:t>2. Ilekroć w rozporządzeniu jest mowa o:</w:t>
      </w:r>
    </w:p>
    <w:p w14:paraId="31E14F60" w14:textId="77777777" w:rsidR="001117B8" w:rsidRDefault="001117B8" w:rsidP="00734836">
      <w:pPr>
        <w:pStyle w:val="PKTpunkt"/>
      </w:pPr>
      <w:r>
        <w:t>1)</w:t>
      </w:r>
      <w:r>
        <w:tab/>
        <w:t xml:space="preserve">pobieraniu </w:t>
      </w:r>
      <w:r w:rsidR="007F6087">
        <w:t>krwi</w:t>
      </w:r>
      <w:r w:rsidR="00FB4A79">
        <w:t xml:space="preserve"> </w:t>
      </w:r>
      <w:r>
        <w:t xml:space="preserve">bez bliższego określenia, rozumie się przez to pobranie krwi pełnej, osocza i innych składników krwi oraz zabiegi związane z ich pobraniem, w szczególności zabiegi </w:t>
      </w:r>
      <w:r w:rsidR="00B8091B">
        <w:t xml:space="preserve">aferezy, w tym </w:t>
      </w:r>
      <w:r w:rsidR="00C03247">
        <w:t xml:space="preserve">plazmaferezy, </w:t>
      </w:r>
      <w:proofErr w:type="spellStart"/>
      <w:r>
        <w:t>trombaferezy</w:t>
      </w:r>
      <w:proofErr w:type="spellEnd"/>
      <w:r>
        <w:t xml:space="preserve">, </w:t>
      </w:r>
      <w:proofErr w:type="spellStart"/>
      <w:r>
        <w:t>leukaferezy</w:t>
      </w:r>
      <w:proofErr w:type="spellEnd"/>
      <w:r>
        <w:t xml:space="preserve"> i </w:t>
      </w:r>
      <w:proofErr w:type="spellStart"/>
      <w:r>
        <w:t>erytroaferezy</w:t>
      </w:r>
      <w:proofErr w:type="spellEnd"/>
      <w:r>
        <w:t>;</w:t>
      </w:r>
    </w:p>
    <w:p w14:paraId="2BAEEA65" w14:textId="13CEF706" w:rsidR="00365384" w:rsidRDefault="00365384" w:rsidP="00734836">
      <w:pPr>
        <w:pStyle w:val="PKTpunkt"/>
      </w:pPr>
      <w:r>
        <w:t>2)</w:t>
      </w:r>
      <w:r>
        <w:tab/>
        <w:t xml:space="preserve">jednostce organizacyjnej publicznej służby krwi, rozumie się przez to </w:t>
      </w:r>
      <w:r w:rsidRPr="001F5AD3">
        <w:t>jednostk</w:t>
      </w:r>
      <w:r>
        <w:t>ę organizacyjną</w:t>
      </w:r>
      <w:r w:rsidRPr="001F5AD3">
        <w:t xml:space="preserve"> publicznej służby krwi, o której mowa w art. 4 ust. 3 pkt 2</w:t>
      </w:r>
      <w:r w:rsidR="0032515A" w:rsidRPr="00131D6A">
        <w:t>–</w:t>
      </w:r>
      <w:r w:rsidRPr="001F5AD3">
        <w:t xml:space="preserve">4 </w:t>
      </w:r>
      <w:r>
        <w:t xml:space="preserve">ustawy </w:t>
      </w:r>
      <w:r w:rsidRPr="00573CC6">
        <w:t>z dnia 22 sierpnia 1997 r. o publicznej służbie krwi</w:t>
      </w:r>
      <w:r w:rsidR="00420C0F">
        <w:t>, zwanej dalej „ustawą”;</w:t>
      </w:r>
    </w:p>
    <w:p w14:paraId="7062FA55" w14:textId="5BE07770" w:rsidR="001117B8" w:rsidRDefault="00365384" w:rsidP="00734836">
      <w:pPr>
        <w:pStyle w:val="PKTpunkt"/>
      </w:pPr>
      <w:r>
        <w:t>3</w:t>
      </w:r>
      <w:r w:rsidR="001117B8">
        <w:t>)</w:t>
      </w:r>
      <w:r w:rsidR="001117B8">
        <w:tab/>
        <w:t xml:space="preserve">zabiegu </w:t>
      </w:r>
      <w:proofErr w:type="spellStart"/>
      <w:r w:rsidR="001117B8">
        <w:t>leukaferezy</w:t>
      </w:r>
      <w:proofErr w:type="spellEnd"/>
      <w:r w:rsidR="001117B8">
        <w:t xml:space="preserve">, rozumie się przez to również zabieg </w:t>
      </w:r>
      <w:proofErr w:type="spellStart"/>
      <w:r w:rsidR="001117B8">
        <w:t>leukoaferezy</w:t>
      </w:r>
      <w:proofErr w:type="spellEnd"/>
      <w:r w:rsidR="001117B8">
        <w:t>;</w:t>
      </w:r>
    </w:p>
    <w:p w14:paraId="202A8053" w14:textId="4D52DE0D" w:rsidR="00811405" w:rsidRDefault="00365384" w:rsidP="00734836">
      <w:pPr>
        <w:pStyle w:val="PKTpunkt"/>
      </w:pPr>
      <w:r>
        <w:t>4</w:t>
      </w:r>
      <w:r w:rsidR="001117B8">
        <w:t>)</w:t>
      </w:r>
      <w:r w:rsidR="001117B8">
        <w:tab/>
        <w:t xml:space="preserve">zabiegu </w:t>
      </w:r>
      <w:proofErr w:type="spellStart"/>
      <w:r w:rsidR="001117B8">
        <w:t>trombaferezy</w:t>
      </w:r>
      <w:proofErr w:type="spellEnd"/>
      <w:r w:rsidR="001117B8">
        <w:t xml:space="preserve">, rozumie się przez to również zabieg </w:t>
      </w:r>
      <w:proofErr w:type="spellStart"/>
      <w:r w:rsidR="001117B8">
        <w:t>tromboaferezy</w:t>
      </w:r>
      <w:proofErr w:type="spellEnd"/>
      <w:r w:rsidR="00573CC6">
        <w:t>.</w:t>
      </w:r>
    </w:p>
    <w:p w14:paraId="5062A8A4" w14:textId="77777777" w:rsidR="001117B8" w:rsidRDefault="001117B8" w:rsidP="00734836">
      <w:pPr>
        <w:pStyle w:val="ARTartustawynprozporzdzenia"/>
      </w:pPr>
      <w:r>
        <w:t xml:space="preserve">§ 2. 1. Kandydat na dawcę krwi lub dawca krwi </w:t>
      </w:r>
      <w:r w:rsidR="00C03247">
        <w:t xml:space="preserve">musi </w:t>
      </w:r>
      <w:r>
        <w:t>odpowiada</w:t>
      </w:r>
      <w:r w:rsidR="00C03247">
        <w:t>ć</w:t>
      </w:r>
      <w:r>
        <w:t xml:space="preserve"> wymaganiom zdrowotnym pozwalającym na ustalenie, że każdorazowe pobranie krwi nie spowoduje ujemnych skutków dla ich stanu zdrowia lub stanu zdrowia biorc</w:t>
      </w:r>
      <w:r w:rsidR="00C03247">
        <w:t>ów</w:t>
      </w:r>
      <w:r w:rsidR="00166E4C">
        <w:t xml:space="preserve"> </w:t>
      </w:r>
      <w:r>
        <w:t>krwi.</w:t>
      </w:r>
    </w:p>
    <w:p w14:paraId="73EC8AD8" w14:textId="27B9CD2F" w:rsidR="001117B8" w:rsidRDefault="001117B8" w:rsidP="00734836">
      <w:pPr>
        <w:pStyle w:val="USTustnpkodeksu"/>
      </w:pPr>
      <w:r>
        <w:t>2. Kandydat</w:t>
      </w:r>
      <w:r w:rsidR="008E5EAB">
        <w:t>owi</w:t>
      </w:r>
      <w:r>
        <w:t xml:space="preserve"> na dawcę krwi lub dawc</w:t>
      </w:r>
      <w:r w:rsidR="00A01CD5">
        <w:t>y</w:t>
      </w:r>
      <w:r>
        <w:t xml:space="preserve"> krwi przed oddaniem </w:t>
      </w:r>
      <w:r w:rsidR="001923BC">
        <w:t xml:space="preserve">krwi lub jej składników </w:t>
      </w:r>
      <w:r>
        <w:t>przekaz</w:t>
      </w:r>
      <w:r w:rsidR="001923BC">
        <w:t xml:space="preserve">uje się </w:t>
      </w:r>
      <w:r>
        <w:t xml:space="preserve">informacje, których zakres określa załącznik nr 1 do rozporządzenia.  </w:t>
      </w:r>
    </w:p>
    <w:p w14:paraId="5497768E" w14:textId="62E25E7E" w:rsidR="001117B8" w:rsidRDefault="001117B8" w:rsidP="00811405">
      <w:pPr>
        <w:pStyle w:val="ARTartustawynprozporzdzenia"/>
      </w:pPr>
      <w:r>
        <w:t>§ 3.</w:t>
      </w:r>
      <w:r w:rsidR="00B56AA1">
        <w:t xml:space="preserve"> 1.</w:t>
      </w:r>
      <w:r>
        <w:t xml:space="preserve"> O spełnianiu przez kandydata na dawcę krwi lub dawcę krwi wymagań zdrowotnych</w:t>
      </w:r>
      <w:r w:rsidR="003B173E">
        <w:t xml:space="preserve">, o których mowa w </w:t>
      </w:r>
      <w:r w:rsidR="003B173E">
        <w:rPr>
          <w:rFonts w:cs="Times"/>
        </w:rPr>
        <w:t>§</w:t>
      </w:r>
      <w:r w:rsidR="003B173E">
        <w:t xml:space="preserve"> 2 ust. 1,</w:t>
      </w:r>
      <w:r>
        <w:t xml:space="preserve"> orzeka lekarz</w:t>
      </w:r>
      <w:r w:rsidR="00811405">
        <w:t>,</w:t>
      </w:r>
      <w:r w:rsidR="00811405" w:rsidRPr="00811405">
        <w:t xml:space="preserve"> </w:t>
      </w:r>
      <w:r>
        <w:t>po przeprowadzeniu badania lekarskiego, które obejmuje</w:t>
      </w:r>
      <w:r w:rsidR="00811405">
        <w:t xml:space="preserve"> elementy wymienione </w:t>
      </w:r>
      <w:r>
        <w:t>w art. 1</w:t>
      </w:r>
      <w:r w:rsidR="003B173E">
        <w:t>5</w:t>
      </w:r>
      <w:r>
        <w:t xml:space="preserve"> ust</w:t>
      </w:r>
      <w:r w:rsidR="003B173E">
        <w:t>. 1 pkt 3</w:t>
      </w:r>
      <w:r w:rsidR="00811405">
        <w:t xml:space="preserve"> ustawy.</w:t>
      </w:r>
    </w:p>
    <w:p w14:paraId="51AC099D" w14:textId="77777777" w:rsidR="001117B8" w:rsidRDefault="001117B8" w:rsidP="00734836">
      <w:pPr>
        <w:pStyle w:val="USTustnpkodeksu"/>
      </w:pPr>
      <w:r>
        <w:t>2. Wywiad medyczny</w:t>
      </w:r>
      <w:r w:rsidR="00811405">
        <w:t>, o którym mowa w art. 15 ust. 1 pkt 3 ustawy,</w:t>
      </w:r>
      <w:r>
        <w:t xml:space="preserve"> </w:t>
      </w:r>
      <w:r w:rsidR="003B173E">
        <w:t xml:space="preserve">przeprowadza się w sposób </w:t>
      </w:r>
      <w:r>
        <w:t>zapewni</w:t>
      </w:r>
      <w:r w:rsidR="00C57891">
        <w:t>a</w:t>
      </w:r>
      <w:r w:rsidR="003B173E">
        <w:t>jący</w:t>
      </w:r>
      <w:r>
        <w:t xml:space="preserve"> uzyskanie danych pozwalających na ustalenie braku stałych lub czasowych przeciwwskazań do oddawania krwi, określonych stosownie do kryteriów zawartych w załączniku nr 2 do rozporządzenia. Przepisy pkt 1 i 2 załącznika nr 2 do rozporządzenia nie dotyczą pobrań autologicznych.</w:t>
      </w:r>
    </w:p>
    <w:p w14:paraId="4FF9B8AE" w14:textId="018B46EA" w:rsidR="001F5AD3" w:rsidRPr="001F5AD3" w:rsidRDefault="001F5AD3" w:rsidP="001F5AD3">
      <w:pPr>
        <w:pStyle w:val="USTustnpkodeksu"/>
      </w:pPr>
      <w:r w:rsidRPr="001F5AD3">
        <w:t>3. W szczególnych przypadkach</w:t>
      </w:r>
      <w:r w:rsidR="00B56AA1">
        <w:t>,</w:t>
      </w:r>
      <w:r w:rsidRPr="001F5AD3">
        <w:t xml:space="preserve"> można pobrać krew od dawców krwi niespełniających wymagań</w:t>
      </w:r>
      <w:r w:rsidR="00B56AA1">
        <w:t>,</w:t>
      </w:r>
      <w:r w:rsidRPr="001F5AD3">
        <w:t xml:space="preserve"> określonych w załączniku nr 2 do rozporządzenia, pod warunkiem wyrażenia </w:t>
      </w:r>
      <w:r w:rsidR="007247A8">
        <w:t xml:space="preserve">każdorazowo </w:t>
      </w:r>
      <w:r w:rsidRPr="001F5AD3">
        <w:t xml:space="preserve">zgody przez lekarza upoważnionego przez kierownika jednostki organizacyjnej </w:t>
      </w:r>
      <w:r w:rsidRPr="001F5AD3">
        <w:lastRenderedPageBreak/>
        <w:t xml:space="preserve">publicznej służby krwi. </w:t>
      </w:r>
      <w:r w:rsidR="00672F99">
        <w:t>P</w:t>
      </w:r>
      <w:r w:rsidRPr="001F5AD3">
        <w:t xml:space="preserve">rzypadki </w:t>
      </w:r>
      <w:r w:rsidR="00672F99">
        <w:t xml:space="preserve">takiego pobrania </w:t>
      </w:r>
      <w:r w:rsidRPr="001F5AD3">
        <w:t xml:space="preserve">są </w:t>
      </w:r>
      <w:r w:rsidR="007F6087">
        <w:t xml:space="preserve">wpisywane </w:t>
      </w:r>
      <w:r w:rsidRPr="001F5AD3">
        <w:t>przez tę jednostkę</w:t>
      </w:r>
      <w:r w:rsidR="007F6087">
        <w:t xml:space="preserve"> </w:t>
      </w:r>
      <w:r w:rsidR="00573CC6">
        <w:t>do</w:t>
      </w:r>
      <w:r w:rsidR="007F6087">
        <w:t xml:space="preserve"> dokumentacj</w:t>
      </w:r>
      <w:r w:rsidR="00573CC6">
        <w:t>i</w:t>
      </w:r>
      <w:r w:rsidR="007F6087">
        <w:t xml:space="preserve"> dawcy krwi</w:t>
      </w:r>
      <w:r w:rsidRPr="001F5AD3">
        <w:t>.</w:t>
      </w:r>
    </w:p>
    <w:p w14:paraId="3A2ED396" w14:textId="2B8F5C30" w:rsidR="001117B8" w:rsidRDefault="001117B8" w:rsidP="00734836">
      <w:pPr>
        <w:pStyle w:val="USTustnpkodeksu"/>
      </w:pPr>
      <w:r>
        <w:t xml:space="preserve">4. Badanie </w:t>
      </w:r>
      <w:r w:rsidR="0072347A">
        <w:t>kwalifikacyjne</w:t>
      </w:r>
      <w:r w:rsidR="00E9446F">
        <w:t xml:space="preserve"> kandydata na dawcę</w:t>
      </w:r>
      <w:r w:rsidR="00A01CD5">
        <w:t xml:space="preserve"> krwi</w:t>
      </w:r>
      <w:r w:rsidR="00E9446F">
        <w:t xml:space="preserve"> lub dawcę krwi</w:t>
      </w:r>
      <w:r w:rsidR="0072347A">
        <w:t xml:space="preserve"> </w:t>
      </w:r>
      <w:r w:rsidR="00573CC6">
        <w:t>obejmuje</w:t>
      </w:r>
      <w:r>
        <w:t>:</w:t>
      </w:r>
    </w:p>
    <w:p w14:paraId="3177FC4E" w14:textId="77777777" w:rsidR="001117B8" w:rsidRDefault="001117B8" w:rsidP="00734836">
      <w:pPr>
        <w:pStyle w:val="PKTpunkt"/>
      </w:pPr>
      <w:r>
        <w:t>1)</w:t>
      </w:r>
      <w:r>
        <w:tab/>
        <w:t xml:space="preserve">ocenę wyglądu ogólnego, który może wskazywać na pozostawanie </w:t>
      </w:r>
      <w:r w:rsidR="008B5765">
        <w:t xml:space="preserve">kandydata na dawcę lub dawcy krwi </w:t>
      </w:r>
      <w:r w:rsidR="001F5AD3">
        <w:t>w szczególności</w:t>
      </w:r>
      <w:r>
        <w:t xml:space="preserve"> pod wpływem alkoholu,</w:t>
      </w:r>
      <w:r w:rsidR="00DF7102">
        <w:t xml:space="preserve"> </w:t>
      </w:r>
      <w:r w:rsidR="00A410F2">
        <w:t>środków odurzających</w:t>
      </w:r>
      <w:r w:rsidR="00D408B6">
        <w:t xml:space="preserve"> </w:t>
      </w:r>
      <w:r>
        <w:t>lub nadmierne pobudzenie psychiczne;</w:t>
      </w:r>
    </w:p>
    <w:p w14:paraId="63171BDE" w14:textId="77777777" w:rsidR="001117B8" w:rsidRDefault="001117B8" w:rsidP="00734836">
      <w:pPr>
        <w:pStyle w:val="PKTpunkt"/>
      </w:pPr>
      <w:r>
        <w:t>2)</w:t>
      </w:r>
      <w:r>
        <w:tab/>
        <w:t xml:space="preserve">stwierdzenie, czy istnieje nadmierna dysproporcja pomiędzy </w:t>
      </w:r>
      <w:r w:rsidR="008B5765">
        <w:t>wagą</w:t>
      </w:r>
      <w:r w:rsidR="007F6087">
        <w:t xml:space="preserve"> </w:t>
      </w:r>
      <w:r>
        <w:t>ciała</w:t>
      </w:r>
      <w:r w:rsidR="004C111F">
        <w:t>,</w:t>
      </w:r>
      <w:r>
        <w:t xml:space="preserve"> a wzrostem;</w:t>
      </w:r>
    </w:p>
    <w:p w14:paraId="08950432" w14:textId="77777777" w:rsidR="001117B8" w:rsidRDefault="001117B8" w:rsidP="00734836">
      <w:pPr>
        <w:pStyle w:val="PKTpunkt"/>
      </w:pPr>
      <w:r>
        <w:t>3)</w:t>
      </w:r>
      <w:r>
        <w:tab/>
        <w:t>stwierdzenie, czy istnieją odchylenia od:</w:t>
      </w:r>
    </w:p>
    <w:p w14:paraId="57CE9EE5" w14:textId="77777777" w:rsidR="001117B8" w:rsidRDefault="001117B8" w:rsidP="00734836">
      <w:pPr>
        <w:pStyle w:val="LITlitera"/>
      </w:pPr>
      <w:r>
        <w:t>a) prawidłowej temperatury ciała,</w:t>
      </w:r>
    </w:p>
    <w:p w14:paraId="2CB2A1E4" w14:textId="77777777" w:rsidR="001117B8" w:rsidRDefault="001117B8" w:rsidP="00734836">
      <w:pPr>
        <w:pStyle w:val="LITlitera"/>
      </w:pPr>
      <w:r>
        <w:t>b) prawidłowej częstości tętna i jego miarowości,</w:t>
      </w:r>
    </w:p>
    <w:p w14:paraId="5BF9747A" w14:textId="77777777" w:rsidR="001117B8" w:rsidRDefault="001117B8" w:rsidP="00734836">
      <w:pPr>
        <w:pStyle w:val="LITlitera"/>
      </w:pPr>
      <w:r>
        <w:t>c) prawidłowych wartości ciśnienia tętniczego;</w:t>
      </w:r>
    </w:p>
    <w:p w14:paraId="0BF6658F" w14:textId="77777777" w:rsidR="001117B8" w:rsidRDefault="001117B8" w:rsidP="00734836">
      <w:pPr>
        <w:pStyle w:val="PKTpunkt"/>
      </w:pPr>
      <w:r>
        <w:t>4) określenie stanu węzłów chłonnych i skóry, w tym w okolicach miejsca wkłucia do żyły.</w:t>
      </w:r>
    </w:p>
    <w:p w14:paraId="06A2CE62" w14:textId="77777777" w:rsidR="001117B8" w:rsidRDefault="001117B8" w:rsidP="00734836">
      <w:pPr>
        <w:pStyle w:val="ARTartustawynprozporzdzenia"/>
      </w:pPr>
      <w:r>
        <w:t>§ 4. 1. Przed pobraniem krwi oznacza się stężenie hemoglobiny.</w:t>
      </w:r>
    </w:p>
    <w:p w14:paraId="2ED43841" w14:textId="77777777" w:rsidR="001117B8" w:rsidRDefault="001117B8" w:rsidP="00734836">
      <w:pPr>
        <w:pStyle w:val="USTustnpkodeksu"/>
      </w:pPr>
      <w:r>
        <w:t xml:space="preserve">2. Przed zabiegiem </w:t>
      </w:r>
      <w:proofErr w:type="spellStart"/>
      <w:r>
        <w:t>trombaferezy</w:t>
      </w:r>
      <w:proofErr w:type="spellEnd"/>
      <w:r>
        <w:t xml:space="preserve"> lub </w:t>
      </w:r>
      <w:proofErr w:type="spellStart"/>
      <w:r>
        <w:t>leukaferezy</w:t>
      </w:r>
      <w:proofErr w:type="spellEnd"/>
      <w:r>
        <w:t xml:space="preserve"> oznacza się:</w:t>
      </w:r>
    </w:p>
    <w:p w14:paraId="1E7EE75D" w14:textId="77777777" w:rsidR="001117B8" w:rsidRDefault="00415D9D" w:rsidP="00734836">
      <w:pPr>
        <w:pStyle w:val="PKTpunkt"/>
      </w:pPr>
      <w:r>
        <w:t>1</w:t>
      </w:r>
      <w:r w:rsidR="001117B8">
        <w:t>)</w:t>
      </w:r>
      <w:r w:rsidR="001117B8">
        <w:tab/>
        <w:t>liczbę krwinek płytkowych;</w:t>
      </w:r>
    </w:p>
    <w:p w14:paraId="057E94C9" w14:textId="77777777" w:rsidR="001117B8" w:rsidRDefault="00415D9D" w:rsidP="00734836">
      <w:pPr>
        <w:pStyle w:val="PKTpunkt"/>
      </w:pPr>
      <w:r>
        <w:t>2</w:t>
      </w:r>
      <w:r w:rsidR="001117B8">
        <w:t>)</w:t>
      </w:r>
      <w:r w:rsidR="001117B8">
        <w:tab/>
        <w:t>liczbę krwinek białych.</w:t>
      </w:r>
    </w:p>
    <w:p w14:paraId="641E86C2" w14:textId="77777777" w:rsidR="001117B8" w:rsidRDefault="001117B8" w:rsidP="00734836">
      <w:pPr>
        <w:pStyle w:val="USTustnpkodeksu"/>
      </w:pPr>
      <w:r>
        <w:t>3. Próbk</w:t>
      </w:r>
      <w:r w:rsidR="00DF7102">
        <w:t>i</w:t>
      </w:r>
      <w:r>
        <w:t xml:space="preserve"> krwi osoby zak</w:t>
      </w:r>
      <w:r w:rsidR="00415D9D">
        <w:t xml:space="preserve">walifikowanej do pobrania krwi </w:t>
      </w:r>
      <w:r>
        <w:t>wymagają oznaczenia:</w:t>
      </w:r>
    </w:p>
    <w:p w14:paraId="0224B2F9" w14:textId="77777777" w:rsidR="001117B8" w:rsidRDefault="001117B8" w:rsidP="00734836">
      <w:pPr>
        <w:pStyle w:val="PKTpunkt"/>
      </w:pPr>
      <w:r>
        <w:t>1)</w:t>
      </w:r>
      <w:r>
        <w:tab/>
        <w:t xml:space="preserve">antygenu </w:t>
      </w:r>
      <w:proofErr w:type="spellStart"/>
      <w:r>
        <w:t>HBs</w:t>
      </w:r>
      <w:proofErr w:type="spellEnd"/>
      <w:r>
        <w:t>;</w:t>
      </w:r>
    </w:p>
    <w:p w14:paraId="54F29C8C" w14:textId="77777777" w:rsidR="001117B8" w:rsidRDefault="001117B8" w:rsidP="00734836">
      <w:pPr>
        <w:pStyle w:val="PKTpunkt"/>
      </w:pPr>
      <w:r>
        <w:t>2)</w:t>
      </w:r>
      <w:r>
        <w:tab/>
        <w:t>przeciwciał anty-HIV 1/2;</w:t>
      </w:r>
    </w:p>
    <w:p w14:paraId="7A6C9980" w14:textId="77777777" w:rsidR="001117B8" w:rsidRDefault="001117B8" w:rsidP="00734836">
      <w:pPr>
        <w:pStyle w:val="PKTpunkt"/>
      </w:pPr>
      <w:r>
        <w:t>3)</w:t>
      </w:r>
      <w:r>
        <w:tab/>
        <w:t>przeciwciał anty-HCV;</w:t>
      </w:r>
    </w:p>
    <w:p w14:paraId="3349B0E5" w14:textId="77777777" w:rsidR="001117B8" w:rsidRDefault="001117B8" w:rsidP="00734836">
      <w:pPr>
        <w:pStyle w:val="PKTpunkt"/>
      </w:pPr>
      <w:r>
        <w:t>4)</w:t>
      </w:r>
      <w:r>
        <w:tab/>
        <w:t>RNA HCV;</w:t>
      </w:r>
    </w:p>
    <w:p w14:paraId="2D142286" w14:textId="77777777" w:rsidR="001117B8" w:rsidRDefault="001117B8" w:rsidP="00734836">
      <w:pPr>
        <w:pStyle w:val="PKTpunkt"/>
      </w:pPr>
      <w:r>
        <w:t>5)</w:t>
      </w:r>
      <w:r>
        <w:tab/>
        <w:t>DNA HBV;</w:t>
      </w:r>
    </w:p>
    <w:p w14:paraId="787D46A4" w14:textId="77777777" w:rsidR="001117B8" w:rsidRDefault="001117B8" w:rsidP="00734836">
      <w:pPr>
        <w:pStyle w:val="PKTpunkt"/>
      </w:pPr>
      <w:r>
        <w:t>6)</w:t>
      </w:r>
      <w:r>
        <w:tab/>
        <w:t>RNA HIV;</w:t>
      </w:r>
    </w:p>
    <w:p w14:paraId="790C0B38" w14:textId="77777777" w:rsidR="001117B8" w:rsidRDefault="001117B8" w:rsidP="00734836">
      <w:pPr>
        <w:pStyle w:val="PKTpunkt"/>
      </w:pPr>
      <w:r>
        <w:t>7)</w:t>
      </w:r>
      <w:r>
        <w:tab/>
        <w:t>testów w kierunku zakażenia krętkiem kiły.</w:t>
      </w:r>
    </w:p>
    <w:p w14:paraId="5E17571B" w14:textId="77777777" w:rsidR="001117B8" w:rsidRDefault="001117B8" w:rsidP="00734836">
      <w:pPr>
        <w:pStyle w:val="USTustnpkodeksu"/>
      </w:pPr>
      <w:r>
        <w:t>4. Próbk</w:t>
      </w:r>
      <w:r w:rsidR="00F05E80">
        <w:t>i</w:t>
      </w:r>
      <w:r>
        <w:t xml:space="preserve"> do badań zakaźnych czynników chorobotwórczych od dawcy krwi pobiera się podczas zabiegu pobrania krwi lub jej składnika.</w:t>
      </w:r>
    </w:p>
    <w:p w14:paraId="40759913" w14:textId="77777777" w:rsidR="001117B8" w:rsidRDefault="001117B8" w:rsidP="00734836">
      <w:pPr>
        <w:pStyle w:val="USTustnpkodeksu"/>
      </w:pPr>
      <w:r>
        <w:t xml:space="preserve">5. Od kandydata na dawcę krwi próbkę w celu oznaczenia: antygenu </w:t>
      </w:r>
      <w:proofErr w:type="spellStart"/>
      <w:r>
        <w:t>HBs</w:t>
      </w:r>
      <w:proofErr w:type="spellEnd"/>
      <w:r>
        <w:t>, przeciwciał anty-HIV 1/2, przeciwciał anty-HCV oraz testów w kierunku zakażenia krętkiem kiły</w:t>
      </w:r>
      <w:r w:rsidR="001923BC">
        <w:t>,</w:t>
      </w:r>
      <w:r w:rsidR="001923BC" w:rsidRPr="001923BC">
        <w:t xml:space="preserve"> </w:t>
      </w:r>
      <w:r w:rsidR="001923BC">
        <w:t>pobiera się podczas badań kwalifikacyjnych</w:t>
      </w:r>
      <w:r>
        <w:t>.</w:t>
      </w:r>
    </w:p>
    <w:p w14:paraId="7A7E47D0" w14:textId="77777777" w:rsidR="001117B8" w:rsidRDefault="00415D9D" w:rsidP="00734836">
      <w:pPr>
        <w:pStyle w:val="USTustnpkodeksu"/>
      </w:pPr>
      <w:r>
        <w:t>6. U dawców krwi</w:t>
      </w:r>
      <w:r w:rsidR="001923BC">
        <w:t xml:space="preserve"> oddających </w:t>
      </w:r>
      <w:r w:rsidR="001117B8">
        <w:t>regularnie krew</w:t>
      </w:r>
      <w:r w:rsidR="007F6087">
        <w:t>,</w:t>
      </w:r>
      <w:r w:rsidR="001117B8">
        <w:t xml:space="preserve"> oznacza się</w:t>
      </w:r>
      <w:r w:rsidR="007F6087">
        <w:t>, co najmniej</w:t>
      </w:r>
      <w:r w:rsidR="001117B8">
        <w:t xml:space="preserve"> raz w roku:</w:t>
      </w:r>
    </w:p>
    <w:p w14:paraId="5995F591" w14:textId="77777777" w:rsidR="001117B8" w:rsidRDefault="001117B8" w:rsidP="00734836">
      <w:pPr>
        <w:pStyle w:val="PKTpunkt"/>
      </w:pPr>
      <w:r>
        <w:t>1) stężenie hemoglobiny i wartość hematokrytu;</w:t>
      </w:r>
    </w:p>
    <w:p w14:paraId="68FA9104" w14:textId="77777777" w:rsidR="001117B8" w:rsidRDefault="001117B8" w:rsidP="00734836">
      <w:pPr>
        <w:pStyle w:val="PKTpunkt"/>
      </w:pPr>
      <w:r>
        <w:t>2) liczbę krwinek czerwonych;</w:t>
      </w:r>
    </w:p>
    <w:p w14:paraId="6F9A4262" w14:textId="77777777" w:rsidR="001117B8" w:rsidRDefault="001117B8" w:rsidP="00734836">
      <w:pPr>
        <w:pStyle w:val="PKTpunkt"/>
      </w:pPr>
      <w:r>
        <w:t>3) liczbę krwinek płytkowych;</w:t>
      </w:r>
    </w:p>
    <w:p w14:paraId="0BF19414" w14:textId="77777777" w:rsidR="001117B8" w:rsidRDefault="001117B8" w:rsidP="00734836">
      <w:pPr>
        <w:pStyle w:val="PKTpunkt"/>
      </w:pPr>
      <w:r>
        <w:lastRenderedPageBreak/>
        <w:t>4) liczbę krwinek białych;</w:t>
      </w:r>
    </w:p>
    <w:p w14:paraId="4DCA7B16" w14:textId="77777777" w:rsidR="001117B8" w:rsidRDefault="001117B8" w:rsidP="00734836">
      <w:pPr>
        <w:pStyle w:val="PKTpunkt"/>
      </w:pPr>
      <w:r>
        <w:t>5) wzór odsetkowy krwinek białych.</w:t>
      </w:r>
    </w:p>
    <w:p w14:paraId="6BE0E131" w14:textId="77777777" w:rsidR="001117B8" w:rsidRDefault="001117B8" w:rsidP="00734836">
      <w:pPr>
        <w:pStyle w:val="USTustnpkodeksu"/>
      </w:pPr>
      <w:r>
        <w:t xml:space="preserve">7. U dawców krwi oddających regularnie osocze oznacza się dodatkowo, co najmniej raz w roku, stężenie białka całkowitego i skład procentowy białek. </w:t>
      </w:r>
    </w:p>
    <w:p w14:paraId="2D2C0BB7" w14:textId="69E343B6" w:rsidR="001117B8" w:rsidRDefault="001117B8" w:rsidP="00734836">
      <w:pPr>
        <w:pStyle w:val="ARTartustawynprozporzdzenia"/>
      </w:pPr>
      <w:r>
        <w:t>§ 5. 1. Orzeczenie lekarza o stanie zdrowia kandydata na dawcę krwi lub dawcy krwi</w:t>
      </w:r>
      <w:r w:rsidR="00A66489">
        <w:t xml:space="preserve"> </w:t>
      </w:r>
      <w:r>
        <w:t>zawiera określenie „kwalifikuje się do pobrania krwi” albo „nie kwalifikuje się do pobrania krwi”.</w:t>
      </w:r>
    </w:p>
    <w:p w14:paraId="0DCA2926" w14:textId="77777777" w:rsidR="001117B8" w:rsidRDefault="001117B8" w:rsidP="00734836">
      <w:pPr>
        <w:pStyle w:val="USTustnpkodeksu"/>
      </w:pPr>
      <w:r>
        <w:t>2. Do dokumentacji medycznej kandydata na dawcę krwi lub dawcy krwi dołącza się:</w:t>
      </w:r>
    </w:p>
    <w:p w14:paraId="1F995D17" w14:textId="77777777" w:rsidR="001117B8" w:rsidRDefault="001117B8" w:rsidP="00734836">
      <w:pPr>
        <w:pStyle w:val="PKTpunkt"/>
      </w:pPr>
      <w:r>
        <w:t>1)</w:t>
      </w:r>
      <w:r>
        <w:tab/>
        <w:t>orzeczenie, o którym mowa w ust. 1;</w:t>
      </w:r>
    </w:p>
    <w:p w14:paraId="5994FD5E" w14:textId="77777777" w:rsidR="001117B8" w:rsidRDefault="001117B8" w:rsidP="00734836">
      <w:pPr>
        <w:pStyle w:val="PKTpunkt"/>
      </w:pPr>
      <w:r>
        <w:t>2)</w:t>
      </w:r>
      <w:r>
        <w:tab/>
        <w:t>kwestionariusz dawcy krwi;</w:t>
      </w:r>
    </w:p>
    <w:p w14:paraId="43C8D9F6" w14:textId="77777777" w:rsidR="001117B8" w:rsidRDefault="001117B8" w:rsidP="00734836">
      <w:pPr>
        <w:pStyle w:val="PKTpunkt"/>
      </w:pPr>
      <w:r>
        <w:t>3)</w:t>
      </w:r>
      <w:r>
        <w:tab/>
        <w:t>dane z wywiadu medycznego;</w:t>
      </w:r>
    </w:p>
    <w:p w14:paraId="0B5E91E8" w14:textId="77777777" w:rsidR="001117B8" w:rsidRDefault="001117B8" w:rsidP="00734836">
      <w:pPr>
        <w:pStyle w:val="PKTpunkt"/>
      </w:pPr>
      <w:r>
        <w:t>4)</w:t>
      </w:r>
      <w:r>
        <w:tab/>
        <w:t>wyniki:</w:t>
      </w:r>
    </w:p>
    <w:p w14:paraId="46101519" w14:textId="4EA98185" w:rsidR="001117B8" w:rsidRDefault="001117B8" w:rsidP="00734836">
      <w:pPr>
        <w:pStyle w:val="LITlitera"/>
      </w:pPr>
      <w:r>
        <w:t xml:space="preserve">a) badania przedmiotowego, o którym mowa w § 3 ust. </w:t>
      </w:r>
      <w:r w:rsidR="002C77D8">
        <w:t xml:space="preserve">4 </w:t>
      </w:r>
      <w:r>
        <w:t>pkt 3,</w:t>
      </w:r>
    </w:p>
    <w:p w14:paraId="7206332D" w14:textId="77777777" w:rsidR="001117B8" w:rsidRDefault="001117B8" w:rsidP="00734836">
      <w:pPr>
        <w:pStyle w:val="LITlitera"/>
      </w:pPr>
      <w:r>
        <w:t>b) pomocniczych badań diagnostycznych, o których mowa w § 4.</w:t>
      </w:r>
    </w:p>
    <w:p w14:paraId="72E6300B" w14:textId="1D6322FA" w:rsidR="001117B8" w:rsidRDefault="002C77D8" w:rsidP="00734836">
      <w:pPr>
        <w:pStyle w:val="USTustnpkodeksu"/>
      </w:pPr>
      <w:r>
        <w:t>3</w:t>
      </w:r>
      <w:r w:rsidR="001117B8">
        <w:t xml:space="preserve">. W razie nieprawidłowych wyników pomocniczych badań diagnostycznych, o których mowa w § 4, lekarz lub osoba przez niego upoważniona powiadamia o nich </w:t>
      </w:r>
      <w:r w:rsidR="008B5765">
        <w:t>kandydata na dawcę krwi lub dawcę krwi</w:t>
      </w:r>
      <w:r w:rsidR="001117B8">
        <w:t xml:space="preserve">. </w:t>
      </w:r>
      <w:r w:rsidR="00F62BAF">
        <w:t xml:space="preserve">Informację o </w:t>
      </w:r>
      <w:r w:rsidR="001117B8">
        <w:t>terminie i sposobie dokonania powiadomienia zamieszcza się w dokumentacji medycznej kandydata na dawcę krwi lub dawcy krwi.</w:t>
      </w:r>
    </w:p>
    <w:p w14:paraId="03CE0904" w14:textId="7F419ED1" w:rsidR="001117B8" w:rsidRDefault="002C77D8" w:rsidP="00734836">
      <w:pPr>
        <w:pStyle w:val="USTustnpkodeksu"/>
      </w:pPr>
      <w:r>
        <w:t>4</w:t>
      </w:r>
      <w:r w:rsidR="001117B8">
        <w:t>. W razie stwierdzenia istotnych odchyleń od prawidłowego stanu zdrowia</w:t>
      </w:r>
      <w:r w:rsidR="00166E4C">
        <w:t>,</w:t>
      </w:r>
      <w:r w:rsidR="001117B8">
        <w:t xml:space="preserve"> kandydata na dawcę krwi lub dawcę krwi kier</w:t>
      </w:r>
      <w:r w:rsidR="000C6FE9">
        <w:t>uje się</w:t>
      </w:r>
      <w:r w:rsidR="001117B8">
        <w:t xml:space="preserve"> do lekarza sprawującego nad nimi opiekę zdrowotną, wraz z wynikami badań, w celu dalszej diagnostyki lub leczenia. </w:t>
      </w:r>
    </w:p>
    <w:p w14:paraId="123C8B0A" w14:textId="1376BB81" w:rsidR="001117B8" w:rsidRDefault="002C77D8" w:rsidP="00734836">
      <w:pPr>
        <w:pStyle w:val="USTustnpkodeksu"/>
      </w:pPr>
      <w:r>
        <w:t>5</w:t>
      </w:r>
      <w:r w:rsidR="001117B8">
        <w:t xml:space="preserve">. Informacje umieszczone w dokumentacji medycznej </w:t>
      </w:r>
      <w:r w:rsidR="008B5765">
        <w:t xml:space="preserve">kandydata na dawcę krwi lub </w:t>
      </w:r>
      <w:r w:rsidR="001117B8">
        <w:t xml:space="preserve">dawcy </w:t>
      </w:r>
      <w:r w:rsidR="001923BC">
        <w:t xml:space="preserve">krwi </w:t>
      </w:r>
      <w:r w:rsidR="000C6FE9">
        <w:t xml:space="preserve">są </w:t>
      </w:r>
      <w:r w:rsidR="001117B8">
        <w:t>podane w sposób umożliwiający identyfikację osób, które je zamieściły.</w:t>
      </w:r>
    </w:p>
    <w:p w14:paraId="37AEB508" w14:textId="52E46A58" w:rsidR="001117B8" w:rsidRDefault="002C77D8" w:rsidP="00734836">
      <w:pPr>
        <w:pStyle w:val="USTustnpkodeksu"/>
      </w:pPr>
      <w:r>
        <w:t>6</w:t>
      </w:r>
      <w:r w:rsidR="001117B8">
        <w:t xml:space="preserve">. W przypadku stałej dyskwalifikacji w konsekwencji wykonania badań po </w:t>
      </w:r>
      <w:r w:rsidR="00596634">
        <w:t xml:space="preserve">oddaniu krwi </w:t>
      </w:r>
      <w:r w:rsidR="001117B8">
        <w:t>i uzyskania wyników stanowiących podstawę do takiej dyskwalifikacji</w:t>
      </w:r>
      <w:r w:rsidR="00D408B6">
        <w:t xml:space="preserve"> </w:t>
      </w:r>
      <w:r w:rsidR="001117B8">
        <w:t>jednostka organizacyjna publicznej służby krwi</w:t>
      </w:r>
      <w:r w:rsidR="00365384">
        <w:t xml:space="preserve"> </w:t>
      </w:r>
      <w:r w:rsidR="001D2264">
        <w:t>ustawy,</w:t>
      </w:r>
      <w:r w:rsidR="001D2264" w:rsidRPr="001F5AD3">
        <w:t xml:space="preserve"> </w:t>
      </w:r>
      <w:r w:rsidR="001117B8">
        <w:t>niezwłocznie zawiadamia pisemnie</w:t>
      </w:r>
      <w:r w:rsidR="00596634">
        <w:t xml:space="preserve"> kandydata na dawcę </w:t>
      </w:r>
      <w:r w:rsidR="005E6CFD">
        <w:t>albo</w:t>
      </w:r>
      <w:r w:rsidR="001117B8">
        <w:t xml:space="preserve"> dawcę </w:t>
      </w:r>
      <w:r w:rsidR="005E6CFD">
        <w:t xml:space="preserve">krwi </w:t>
      </w:r>
      <w:r w:rsidR="001117B8">
        <w:t>o konieczności zgłoszenia się do tej jednostki w celu odebrania wyników badań.</w:t>
      </w:r>
    </w:p>
    <w:p w14:paraId="4463C8CD" w14:textId="20C0DCA8" w:rsidR="001117B8" w:rsidRDefault="002C77D8" w:rsidP="00734836">
      <w:pPr>
        <w:pStyle w:val="USTustnpkodeksu"/>
      </w:pPr>
      <w:r>
        <w:t>7</w:t>
      </w:r>
      <w:r w:rsidR="001117B8">
        <w:t xml:space="preserve">. Zawiadomienie, o którym mowa w ust. </w:t>
      </w:r>
      <w:r>
        <w:t>6</w:t>
      </w:r>
      <w:r w:rsidR="001117B8">
        <w:t>, wysyła się listem poleconym za potwierdzeniem odbioru. W przypadku nieodebrania zawiadomienia wysyłane jest ono powtórnie w tym samym trybie</w:t>
      </w:r>
      <w:r w:rsidR="00BC5A8E">
        <w:t xml:space="preserve"> </w:t>
      </w:r>
      <w:r w:rsidR="005E6CFD">
        <w:sym w:font="Symbol" w:char="F02D"/>
      </w:r>
      <w:r w:rsidR="005E6CFD">
        <w:t xml:space="preserve"> </w:t>
      </w:r>
      <w:r w:rsidR="001117B8">
        <w:t xml:space="preserve">maksymalnie cztery razy. </w:t>
      </w:r>
    </w:p>
    <w:p w14:paraId="431B3298" w14:textId="20E36430" w:rsidR="001117B8" w:rsidRDefault="001117B8" w:rsidP="00734836">
      <w:pPr>
        <w:pStyle w:val="ARTartustawynprozporzdzenia"/>
      </w:pPr>
      <w:r>
        <w:lastRenderedPageBreak/>
        <w:t>§ 6. Dopuszczalną ilość oddawanej krwi oraz częstotliwość jej oddawania</w:t>
      </w:r>
      <w:r w:rsidR="005E6CFD">
        <w:t xml:space="preserve"> określa załącznik nr 3, chyba że</w:t>
      </w:r>
      <w:r>
        <w:t xml:space="preserve"> lekarz </w:t>
      </w:r>
      <w:r w:rsidR="005E6CFD">
        <w:t>w jednostce organizacyjn</w:t>
      </w:r>
      <w:r w:rsidR="004143F8">
        <w:t>ej</w:t>
      </w:r>
      <w:r w:rsidR="005E6CFD">
        <w:t xml:space="preserve"> publicznej służby krwi</w:t>
      </w:r>
      <w:r w:rsidR="00365384">
        <w:t xml:space="preserve"> </w:t>
      </w:r>
      <w:r>
        <w:t xml:space="preserve">w zależności od ogólnego stanu zdrowia dawcy, </w:t>
      </w:r>
      <w:r w:rsidR="00DE7F19">
        <w:t xml:space="preserve">ustali dla niego inną dopuszczalną ilość oddawanej </w:t>
      </w:r>
      <w:r w:rsidR="0091509B">
        <w:t xml:space="preserve">w ciągu roku </w:t>
      </w:r>
      <w:r w:rsidR="00DE7F19">
        <w:t xml:space="preserve">krwi </w:t>
      </w:r>
      <w:r w:rsidR="00DE7F19" w:rsidRPr="00EA06C9">
        <w:t xml:space="preserve">i jej składników </w:t>
      </w:r>
      <w:r w:rsidR="00DE7F19">
        <w:t>oraz częstotliwość jej oddawania</w:t>
      </w:r>
      <w:r>
        <w:t>.</w:t>
      </w:r>
    </w:p>
    <w:p w14:paraId="0570CE0F" w14:textId="77777777" w:rsidR="001117B8" w:rsidRDefault="001117B8" w:rsidP="00734836">
      <w:pPr>
        <w:pStyle w:val="ARTartustawynprozporzdzenia"/>
      </w:pPr>
      <w:r>
        <w:t xml:space="preserve">§ 7. Zabieg uodpornienia dawcy krwi </w:t>
      </w:r>
      <w:proofErr w:type="spellStart"/>
      <w:r>
        <w:t>RhD</w:t>
      </w:r>
      <w:proofErr w:type="spellEnd"/>
      <w:r>
        <w:t xml:space="preserve"> ujemnego ludzkimi krwinkami czerwonymi </w:t>
      </w:r>
      <w:proofErr w:type="spellStart"/>
      <w:r>
        <w:t>RhD</w:t>
      </w:r>
      <w:proofErr w:type="spellEnd"/>
      <w:r>
        <w:t xml:space="preserve"> dodatnimi w celu uzyskania osocza anty-</w:t>
      </w:r>
      <w:proofErr w:type="spellStart"/>
      <w:r>
        <w:t>RhD</w:t>
      </w:r>
      <w:proofErr w:type="spellEnd"/>
      <w:r>
        <w:t xml:space="preserve"> do produkcji immunoglobuliny stosowanej w profilaktyce konfliktu matczyno-płodowego w antygenie D lub osocza anty-</w:t>
      </w:r>
      <w:proofErr w:type="spellStart"/>
      <w:r>
        <w:t>HBs</w:t>
      </w:r>
      <w:proofErr w:type="spellEnd"/>
      <w:r>
        <w:t xml:space="preserve"> jest dopuszczalny, jeżeli </w:t>
      </w:r>
      <w:r w:rsidR="00DE7F19">
        <w:t>taki dawca krwi</w:t>
      </w:r>
      <w:r>
        <w:t xml:space="preserve">, </w:t>
      </w:r>
      <w:r w:rsidR="00DE7F19">
        <w:t xml:space="preserve">który </w:t>
      </w:r>
      <w:r>
        <w:t xml:space="preserve">ma być </w:t>
      </w:r>
      <w:r w:rsidR="00DE7F19">
        <w:t xml:space="preserve">poddany </w:t>
      </w:r>
      <w:r>
        <w:t>temu zabiegowi:</w:t>
      </w:r>
    </w:p>
    <w:p w14:paraId="539DCAF2" w14:textId="77777777" w:rsidR="001117B8" w:rsidRDefault="001117B8" w:rsidP="00734836">
      <w:pPr>
        <w:pStyle w:val="PKTpunkt"/>
      </w:pPr>
      <w:r>
        <w:t>1)</w:t>
      </w:r>
      <w:r>
        <w:tab/>
        <w:t>spełnia wymagania zdrowotne, jakim powinien odpowiadać kandydat na dawcę krwi lub dawca krwi;</w:t>
      </w:r>
    </w:p>
    <w:p w14:paraId="677F9A47" w14:textId="77777777" w:rsidR="001117B8" w:rsidRDefault="001117B8" w:rsidP="00734836">
      <w:pPr>
        <w:pStyle w:val="PKTpunkt"/>
      </w:pPr>
      <w:r>
        <w:t>2)</w:t>
      </w:r>
      <w:r>
        <w:tab/>
        <w:t>wyraził pisemną zgodę na poddawanie się zabiegom niezbędnym do uzyskania uodpornienia, a następnie do oddawania krwi lub osocza anty-</w:t>
      </w:r>
      <w:proofErr w:type="spellStart"/>
      <w:r>
        <w:t>RhD</w:t>
      </w:r>
      <w:proofErr w:type="spellEnd"/>
      <w:r>
        <w:t xml:space="preserve"> do produkcji immunoglobuliny stosowanej w profilaktyce konfliktu matczyno-płodowego w antygenie D. </w:t>
      </w:r>
    </w:p>
    <w:p w14:paraId="254E7301" w14:textId="77777777" w:rsidR="001117B8" w:rsidRDefault="001117B8" w:rsidP="00D408B6">
      <w:pPr>
        <w:pStyle w:val="ARTartustawynprozporzdzenia"/>
      </w:pPr>
      <w:r>
        <w:t xml:space="preserve">§ 8. </w:t>
      </w:r>
      <w:r w:rsidR="00B16AC1">
        <w:t>1</w:t>
      </w:r>
      <w:r>
        <w:t xml:space="preserve">. </w:t>
      </w:r>
      <w:r w:rsidR="004B454C">
        <w:t xml:space="preserve">Zabiegu, o którym mowa </w:t>
      </w:r>
      <w:r w:rsidR="003E32DA">
        <w:t xml:space="preserve">w </w:t>
      </w:r>
      <w:r w:rsidR="00B16AC1" w:rsidRPr="00B16AC1">
        <w:t>§</w:t>
      </w:r>
      <w:r w:rsidR="003E32DA">
        <w:t xml:space="preserve"> 7, nie przeprowadza się w przypadku stwierdzenia u dawcy </w:t>
      </w:r>
      <w:r w:rsidR="00A66489">
        <w:t xml:space="preserve">krwi </w:t>
      </w:r>
      <w:r>
        <w:t>następując</w:t>
      </w:r>
      <w:r w:rsidR="00EA06C9">
        <w:t>ych</w:t>
      </w:r>
      <w:r>
        <w:t xml:space="preserve"> przeciwwskaza</w:t>
      </w:r>
      <w:r w:rsidR="00EA06C9">
        <w:t>ń</w:t>
      </w:r>
      <w:r>
        <w:t>:</w:t>
      </w:r>
    </w:p>
    <w:p w14:paraId="4D9EC5B4" w14:textId="77777777" w:rsidR="001117B8" w:rsidRDefault="001117B8" w:rsidP="00734836">
      <w:pPr>
        <w:pStyle w:val="PKTpunkt"/>
      </w:pPr>
      <w:r>
        <w:t>1)</w:t>
      </w:r>
      <w:r>
        <w:tab/>
        <w:t>alergi</w:t>
      </w:r>
      <w:r w:rsidR="00EA06C9">
        <w:t>i</w:t>
      </w:r>
      <w:r>
        <w:t>, w szczególności pokarmowe</w:t>
      </w:r>
      <w:r w:rsidR="00EA06C9">
        <w:t>j</w:t>
      </w:r>
      <w:r>
        <w:t xml:space="preserve"> </w:t>
      </w:r>
      <w:r w:rsidR="00EA06C9">
        <w:t>lub</w:t>
      </w:r>
      <w:r>
        <w:t xml:space="preserve"> polekowe</w:t>
      </w:r>
      <w:r w:rsidR="00EA06C9">
        <w:t>j</w:t>
      </w:r>
      <w:r>
        <w:t>;</w:t>
      </w:r>
    </w:p>
    <w:p w14:paraId="5F136A26" w14:textId="76F62622" w:rsidR="001117B8" w:rsidRDefault="001117B8" w:rsidP="00734836">
      <w:pPr>
        <w:pStyle w:val="PKTpunkt"/>
      </w:pPr>
      <w:r>
        <w:t>2)</w:t>
      </w:r>
      <w:r>
        <w:tab/>
        <w:t xml:space="preserve">występowanie </w:t>
      </w:r>
      <w:r w:rsidR="0091509B">
        <w:t>niepożądanego</w:t>
      </w:r>
      <w:r w:rsidR="00411DC8">
        <w:t xml:space="preserve"> odczyn</w:t>
      </w:r>
      <w:r w:rsidR="0091509B">
        <w:t>u poszczepiennego</w:t>
      </w:r>
      <w:r>
        <w:t>;</w:t>
      </w:r>
    </w:p>
    <w:p w14:paraId="06DC12E4" w14:textId="77777777" w:rsidR="001117B8" w:rsidRDefault="001117B8" w:rsidP="00734836">
      <w:pPr>
        <w:pStyle w:val="PKTpunkt"/>
      </w:pPr>
      <w:r>
        <w:t>3)</w:t>
      </w:r>
      <w:r>
        <w:tab/>
      </w:r>
      <w:r w:rsidR="00411DC8">
        <w:t>niepożądane reakcje poprzetoczeniowe</w:t>
      </w:r>
      <w:r>
        <w:t xml:space="preserve"> w przeszłości;</w:t>
      </w:r>
    </w:p>
    <w:p w14:paraId="43CD7B8F" w14:textId="5C21DF49" w:rsidR="001117B8" w:rsidRDefault="001117B8" w:rsidP="00734836">
      <w:pPr>
        <w:pStyle w:val="PKTpunkt"/>
      </w:pPr>
      <w:r>
        <w:t>4)</w:t>
      </w:r>
      <w:r>
        <w:tab/>
      </w:r>
      <w:r w:rsidR="001F4B38">
        <w:t>niepożądane</w:t>
      </w:r>
      <w:r>
        <w:t xml:space="preserve"> </w:t>
      </w:r>
      <w:r w:rsidR="0091509B">
        <w:t xml:space="preserve">reakcje </w:t>
      </w:r>
      <w:r>
        <w:t>po wkłuciu do żyły w celu pobrania krwi</w:t>
      </w:r>
      <w:r w:rsidR="00F62BAF">
        <w:t xml:space="preserve"> lub jej składników, lub</w:t>
      </w:r>
      <w:r>
        <w:t xml:space="preserve"> podania </w:t>
      </w:r>
      <w:r w:rsidR="00EA06C9">
        <w:t>produktu leczniczego</w:t>
      </w:r>
      <w:r>
        <w:t>, w szczególności takie jak omdlenie, duszność lub mdłości.</w:t>
      </w:r>
    </w:p>
    <w:p w14:paraId="3D0A08C6" w14:textId="77777777" w:rsidR="001117B8" w:rsidRDefault="00B16AC1" w:rsidP="009517BB">
      <w:pPr>
        <w:pStyle w:val="USTustnpkodeksu"/>
      </w:pPr>
      <w:r>
        <w:t>2</w:t>
      </w:r>
      <w:r w:rsidR="001117B8">
        <w:t>.</w:t>
      </w:r>
      <w:r>
        <w:t xml:space="preserve"> </w:t>
      </w:r>
      <w:r w:rsidR="003E32DA">
        <w:t>Z</w:t>
      </w:r>
      <w:r w:rsidR="001117B8">
        <w:t>abiegu uodpornienia ludzkimi krwinkami czerwonymi</w:t>
      </w:r>
      <w:r w:rsidR="003E32DA">
        <w:t>, nie przeprowadza się:</w:t>
      </w:r>
    </w:p>
    <w:p w14:paraId="44FF5604" w14:textId="77777777" w:rsidR="001117B8" w:rsidRDefault="001117B8" w:rsidP="00734836">
      <w:pPr>
        <w:pStyle w:val="PKTpunkt"/>
      </w:pPr>
      <w:r>
        <w:t>1)</w:t>
      </w:r>
      <w:r>
        <w:tab/>
      </w:r>
      <w:r w:rsidR="003E32DA">
        <w:t xml:space="preserve">u </w:t>
      </w:r>
      <w:r>
        <w:t>kobie</w:t>
      </w:r>
      <w:r w:rsidR="003E32DA">
        <w:t>ty</w:t>
      </w:r>
      <w:r>
        <w:t xml:space="preserve"> w okresie rozrodczym, chyba że kobieta utraciła zdolność rozrodczą;</w:t>
      </w:r>
    </w:p>
    <w:p w14:paraId="1293B93D" w14:textId="77777777" w:rsidR="001117B8" w:rsidRDefault="001117B8" w:rsidP="00734836">
      <w:pPr>
        <w:pStyle w:val="PKTpunkt"/>
      </w:pPr>
      <w:r>
        <w:t>2)</w:t>
      </w:r>
      <w:r>
        <w:tab/>
      </w:r>
      <w:r w:rsidR="003E32DA">
        <w:t xml:space="preserve">u </w:t>
      </w:r>
      <w:r>
        <w:t>osob</w:t>
      </w:r>
      <w:r w:rsidR="00B16AC1">
        <w:t>y</w:t>
      </w:r>
      <w:r>
        <w:t xml:space="preserve"> wykonującej zawód, z którym łączy się niebezpieczeństwo wystąpienia urazów fizycznych.</w:t>
      </w:r>
    </w:p>
    <w:p w14:paraId="48360E36" w14:textId="1A7FD3F4" w:rsidR="001117B8" w:rsidRDefault="00B16AC1" w:rsidP="00734836">
      <w:pPr>
        <w:pStyle w:val="USTustnpkodeksu"/>
      </w:pPr>
      <w:r>
        <w:t>3</w:t>
      </w:r>
      <w:r w:rsidR="001117B8">
        <w:t>. Utrat</w:t>
      </w:r>
      <w:r w:rsidR="00D47979">
        <w:t>ę</w:t>
      </w:r>
      <w:r w:rsidR="001117B8">
        <w:t xml:space="preserve"> zdolności rozrodczej </w:t>
      </w:r>
      <w:r w:rsidR="00D47979">
        <w:t xml:space="preserve">stwierdza </w:t>
      </w:r>
      <w:r w:rsidR="001117B8">
        <w:t xml:space="preserve">dwóch lekarzy specjalistów </w:t>
      </w:r>
      <w:r w:rsidR="00D47979">
        <w:t>w</w:t>
      </w:r>
      <w:r w:rsidR="001117B8">
        <w:t xml:space="preserve"> dziedzin</w:t>
      </w:r>
      <w:r w:rsidR="00D47979">
        <w:t>ie</w:t>
      </w:r>
      <w:r w:rsidR="001117B8">
        <w:t xml:space="preserve"> </w:t>
      </w:r>
      <w:r w:rsidR="00B86C7F">
        <w:t xml:space="preserve">położnictwa i </w:t>
      </w:r>
      <w:r w:rsidR="001117B8">
        <w:t>ginekologii, a jeżeli utrata tej zdolności nastąpiła w następstwie amputacji narządów rodnych</w:t>
      </w:r>
      <w:r w:rsidR="001D2264">
        <w:t xml:space="preserve"> –</w:t>
      </w:r>
      <w:r w:rsidR="009517BB">
        <w:t xml:space="preserve"> lekarz podmiotu</w:t>
      </w:r>
      <w:r w:rsidR="001117B8">
        <w:t xml:space="preserve"> </w:t>
      </w:r>
      <w:r w:rsidR="009517BB">
        <w:t>leczniczego</w:t>
      </w:r>
      <w:r w:rsidR="001117B8">
        <w:t>, w którym zabieg ten został wykonany.</w:t>
      </w:r>
    </w:p>
    <w:p w14:paraId="5CCBF82B" w14:textId="682BB03D" w:rsidR="00DA35E9" w:rsidRDefault="007D6ED4" w:rsidP="00DA35E9">
      <w:pPr>
        <w:pStyle w:val="ARTartustawynprozporzdzenia"/>
      </w:pPr>
      <w:r>
        <w:t>4</w:t>
      </w:r>
      <w:r w:rsidR="001117B8" w:rsidRPr="00CF7073">
        <w:t>.</w:t>
      </w:r>
      <w:r w:rsidR="00D47979">
        <w:t xml:space="preserve"> </w:t>
      </w:r>
      <w:r w:rsidR="00DA35E9">
        <w:t>Orzeczenie lekarskie o dopuszczalności zabiegu uodpornienia w celu uzyskania osocza anty-</w:t>
      </w:r>
      <w:proofErr w:type="spellStart"/>
      <w:r w:rsidR="00DA35E9">
        <w:t>RhD</w:t>
      </w:r>
      <w:proofErr w:type="spellEnd"/>
      <w:r w:rsidR="00DA35E9">
        <w:t xml:space="preserve"> wydaje lekarz jednostki organizacyjnej publicznej służby krwi</w:t>
      </w:r>
      <w:r w:rsidR="00DA35E9" w:rsidRPr="001F5AD3">
        <w:t xml:space="preserve"> </w:t>
      </w:r>
      <w:r w:rsidR="00DA35E9">
        <w:t>po przeprowadzeniu badań, o których mowa w § 3 i 4.</w:t>
      </w:r>
    </w:p>
    <w:p w14:paraId="17FC7F90" w14:textId="77777777" w:rsidR="001117B8" w:rsidRPr="00CF7073" w:rsidRDefault="007D6ED4" w:rsidP="00CF7073">
      <w:pPr>
        <w:pStyle w:val="USTustnpkodeksu"/>
      </w:pPr>
      <w:r>
        <w:lastRenderedPageBreak/>
        <w:t>5</w:t>
      </w:r>
      <w:r w:rsidR="00DA35E9">
        <w:t xml:space="preserve">. </w:t>
      </w:r>
      <w:r w:rsidR="00D47979">
        <w:t xml:space="preserve">Orzeczenie, o którym mowa w ust. </w:t>
      </w:r>
      <w:r>
        <w:t>4</w:t>
      </w:r>
      <w:r w:rsidR="00D47979">
        <w:t>, zawiera</w:t>
      </w:r>
      <w:r w:rsidR="001117B8" w:rsidRPr="00CF7073">
        <w:t>:</w:t>
      </w:r>
    </w:p>
    <w:p w14:paraId="4CB6670B" w14:textId="77777777" w:rsidR="001117B8" w:rsidRDefault="001117B8" w:rsidP="00CF7073">
      <w:pPr>
        <w:pStyle w:val="PKTpunkt"/>
      </w:pPr>
      <w:r>
        <w:t>1)</w:t>
      </w:r>
      <w:r>
        <w:tab/>
        <w:t>sformułowanie „Dopuszcza się dokonanie zabiegu uodpornienia w celu uzyskania osocza anty-</w:t>
      </w:r>
      <w:proofErr w:type="spellStart"/>
      <w:r>
        <w:t>RhD</w:t>
      </w:r>
      <w:proofErr w:type="spellEnd"/>
      <w:r>
        <w:t>”;</w:t>
      </w:r>
    </w:p>
    <w:p w14:paraId="0C9BDF86" w14:textId="77777777" w:rsidR="001117B8" w:rsidRDefault="001117B8" w:rsidP="00CF7073">
      <w:pPr>
        <w:pStyle w:val="PKTpunkt"/>
      </w:pPr>
      <w:r>
        <w:t>2)</w:t>
      </w:r>
      <w:r>
        <w:tab/>
        <w:t xml:space="preserve">datę i miejsce </w:t>
      </w:r>
      <w:r w:rsidR="00D47979">
        <w:t xml:space="preserve">jego </w:t>
      </w:r>
      <w:r>
        <w:t>wystawienia;</w:t>
      </w:r>
    </w:p>
    <w:p w14:paraId="52DAD8F1" w14:textId="77777777" w:rsidR="001117B8" w:rsidRDefault="001117B8" w:rsidP="00CF7073">
      <w:pPr>
        <w:pStyle w:val="PKTpunkt"/>
      </w:pPr>
      <w:r>
        <w:t>3)</w:t>
      </w:r>
      <w:r>
        <w:tab/>
        <w:t>pieczątkę i podpis lekarza</w:t>
      </w:r>
      <w:r w:rsidR="00D47979">
        <w:t xml:space="preserve"> wystawiającego orzeczenie</w:t>
      </w:r>
      <w:r>
        <w:t>.</w:t>
      </w:r>
    </w:p>
    <w:p w14:paraId="30C17769" w14:textId="3570D375" w:rsidR="001117B8" w:rsidRDefault="007D6ED4" w:rsidP="00CF7073">
      <w:pPr>
        <w:pStyle w:val="USTustnpkodeksu"/>
      </w:pPr>
      <w:r>
        <w:t>6</w:t>
      </w:r>
      <w:r w:rsidR="001117B8">
        <w:t xml:space="preserve">. Orzeczenie, o którym mowa w ust. </w:t>
      </w:r>
      <w:r>
        <w:t>4</w:t>
      </w:r>
      <w:r w:rsidR="001117B8">
        <w:t xml:space="preserve">, wyniki badań </w:t>
      </w:r>
      <w:r w:rsidR="00DA35E9">
        <w:t>oraz</w:t>
      </w:r>
      <w:r w:rsidR="001117B8">
        <w:t xml:space="preserve"> pozostałą dokumentację badań</w:t>
      </w:r>
      <w:r w:rsidR="00DA35E9">
        <w:t>,</w:t>
      </w:r>
      <w:r w:rsidR="001117B8">
        <w:t xml:space="preserve"> stanowiących podstawę do jego wydania</w:t>
      </w:r>
      <w:r w:rsidR="00DA35E9">
        <w:t>,</w:t>
      </w:r>
      <w:r w:rsidR="001117B8">
        <w:t xml:space="preserve"> dołącza się do dokumentacji medycznej dawcy krwi poddane</w:t>
      </w:r>
      <w:r>
        <w:t>mu</w:t>
      </w:r>
      <w:r w:rsidR="001117B8">
        <w:t xml:space="preserve"> zabiegowi uodpornienia.</w:t>
      </w:r>
    </w:p>
    <w:p w14:paraId="090EB32A" w14:textId="446CFD0E" w:rsidR="001117B8" w:rsidRDefault="001117B8" w:rsidP="00734836">
      <w:pPr>
        <w:pStyle w:val="ARTartustawynprozporzdzenia"/>
      </w:pPr>
      <w:r>
        <w:t xml:space="preserve">§ </w:t>
      </w:r>
      <w:r w:rsidR="007D6ED4">
        <w:t>9</w:t>
      </w:r>
      <w:r w:rsidR="008B5A31">
        <w:t xml:space="preserve">. </w:t>
      </w:r>
      <w:r>
        <w:t>Dawc</w:t>
      </w:r>
      <w:r w:rsidR="007D6ED4">
        <w:t>y</w:t>
      </w:r>
      <w:r>
        <w:t xml:space="preserve"> krwi, który został poddany zabiegowi uodpornienia ludzkimi krwinkami czerwonymi, </w:t>
      </w:r>
      <w:r w:rsidR="007C7D7B">
        <w:t xml:space="preserve">z uwagi </w:t>
      </w:r>
      <w:r>
        <w:t xml:space="preserve">na obecność u </w:t>
      </w:r>
      <w:r w:rsidR="007C7D7B">
        <w:t xml:space="preserve">niego </w:t>
      </w:r>
      <w:r>
        <w:t xml:space="preserve">przeciwciał mających znaczenie kliniczne i mogących stanowić zagrożenie dla </w:t>
      </w:r>
      <w:r w:rsidR="007C7D7B">
        <w:t xml:space="preserve">jego </w:t>
      </w:r>
      <w:r>
        <w:t xml:space="preserve">zdrowia i życia </w:t>
      </w:r>
      <w:r w:rsidR="007C7D7B">
        <w:t>w przypadku</w:t>
      </w:r>
      <w:r>
        <w:t xml:space="preserve"> przetocz</w:t>
      </w:r>
      <w:r w:rsidR="007D6ED4">
        <w:t>e</w:t>
      </w:r>
      <w:r>
        <w:t>n</w:t>
      </w:r>
      <w:r w:rsidR="007C7D7B">
        <w:t>ia mu</w:t>
      </w:r>
      <w:r>
        <w:t xml:space="preserve"> niezgodn</w:t>
      </w:r>
      <w:r w:rsidR="007C7D7B">
        <w:t>ej</w:t>
      </w:r>
      <w:r>
        <w:t xml:space="preserve"> serologicznie k</w:t>
      </w:r>
      <w:r w:rsidR="007C7D7B">
        <w:t xml:space="preserve">rwi, wydaje się zaświadczenie zawierające informacje o przebiegu uodpornienia i wytworzonych prze dawcę przeciwciałach.  </w:t>
      </w:r>
    </w:p>
    <w:p w14:paraId="13FC18B2" w14:textId="77777777" w:rsidR="001117B8" w:rsidRDefault="001117B8" w:rsidP="00734836">
      <w:pPr>
        <w:pStyle w:val="ARTartustawynprozporzdzenia"/>
      </w:pPr>
      <w:r>
        <w:t>§ 1</w:t>
      </w:r>
      <w:r w:rsidR="007D6ED4">
        <w:t>0</w:t>
      </w:r>
      <w:r>
        <w:t xml:space="preserve">. 1. Do uodpornienia stosuje się koncentrat krwinek czerwonych po </w:t>
      </w:r>
      <w:r w:rsidR="00D47979">
        <w:t>sześcio</w:t>
      </w:r>
      <w:r>
        <w:t>miesięcznej karencji, podczas której przechowuje się go w banku krwinek mrożonych.</w:t>
      </w:r>
    </w:p>
    <w:p w14:paraId="494C0E40" w14:textId="77777777" w:rsidR="001117B8" w:rsidRDefault="001117B8" w:rsidP="00CF7073">
      <w:pPr>
        <w:pStyle w:val="USTustnpkodeksu"/>
      </w:pPr>
      <w:r>
        <w:t>2. Przed pobraniem krwi i po zakończeniu okresu karencji kontroluje się u dawcy krwi markery zakażeń wirusowych przenoszonych drogą przetoczenia krwi, zgodnie z zakresem badań zawartych w dobrej praktyce pobierania krwi i jej składników, badania, preparatyki, przechowywania, wydawania i transportu</w:t>
      </w:r>
      <w:r w:rsidR="00930D25">
        <w:t>, o których mowa w art. 24 pkt 2 lit. a ustawy</w:t>
      </w:r>
      <w:r>
        <w:t xml:space="preserve">. </w:t>
      </w:r>
    </w:p>
    <w:p w14:paraId="05CB7FD3" w14:textId="77777777" w:rsidR="00AB1859" w:rsidRDefault="001117B8" w:rsidP="00930D25">
      <w:pPr>
        <w:pStyle w:val="USTustnpkodeksu"/>
      </w:pPr>
      <w:r>
        <w:t xml:space="preserve">3. Krwinki czerwone dawcy </w:t>
      </w:r>
      <w:r w:rsidR="00757603">
        <w:t>mają</w:t>
      </w:r>
      <w:r>
        <w:t xml:space="preserve"> określony, co najmniej dwukrotnie, rozszerzony fenotyp, tzn. w zakresie układów grupowych Rh, </w:t>
      </w:r>
      <w:proofErr w:type="spellStart"/>
      <w:r>
        <w:t>Kell</w:t>
      </w:r>
      <w:proofErr w:type="spellEnd"/>
      <w:r>
        <w:t xml:space="preserve">, </w:t>
      </w:r>
      <w:proofErr w:type="spellStart"/>
      <w:r>
        <w:t>Duffy</w:t>
      </w:r>
      <w:proofErr w:type="spellEnd"/>
      <w:r>
        <w:t xml:space="preserve">, </w:t>
      </w:r>
      <w:proofErr w:type="spellStart"/>
      <w:r>
        <w:t>Kidd</w:t>
      </w:r>
      <w:proofErr w:type="spellEnd"/>
      <w:r>
        <w:t xml:space="preserve"> i MNS. </w:t>
      </w:r>
      <w:proofErr w:type="spellStart"/>
      <w:r>
        <w:t>Fenotypowanie</w:t>
      </w:r>
      <w:proofErr w:type="spellEnd"/>
      <w:r>
        <w:t xml:space="preserve"> może być uzupełnione </w:t>
      </w:r>
      <w:proofErr w:type="spellStart"/>
      <w:r>
        <w:t>genotypowaniem</w:t>
      </w:r>
      <w:proofErr w:type="spellEnd"/>
      <w:r>
        <w:t xml:space="preserve">.   </w:t>
      </w:r>
    </w:p>
    <w:p w14:paraId="6AF37B92" w14:textId="142BA2F2" w:rsidR="00AC1CBF" w:rsidRDefault="001117B8" w:rsidP="00734836">
      <w:pPr>
        <w:pStyle w:val="ARTartustawynprozporzdzenia"/>
        <w:rPr>
          <w:rStyle w:val="IGindeksgrny"/>
        </w:rPr>
      </w:pPr>
      <w:r>
        <w:t>§ 1</w:t>
      </w:r>
      <w:r w:rsidR="00E9446F">
        <w:t>1</w:t>
      </w:r>
      <w:r>
        <w:t>. Rozporządzenie wchodzi w życie</w:t>
      </w:r>
      <w:r w:rsidR="00305BF4">
        <w:t xml:space="preserve"> </w:t>
      </w:r>
      <w:r w:rsidR="007247A8">
        <w:t xml:space="preserve">po </w:t>
      </w:r>
      <w:r w:rsidR="009120F5">
        <w:t>upływie</w:t>
      </w:r>
      <w:r w:rsidR="007247A8">
        <w:t xml:space="preserve"> 14 dni od dnia </w:t>
      </w:r>
      <w:r w:rsidR="00305BF4">
        <w:t>ogłoszenia</w:t>
      </w:r>
      <w:r w:rsidR="00AC1CBF">
        <w:rPr>
          <w:rStyle w:val="Odwoanieprzypisudolnego"/>
        </w:rPr>
        <w:footnoteReference w:id="3"/>
      </w:r>
      <w:r w:rsidR="00AC1CBF" w:rsidRPr="00AC1CBF">
        <w:rPr>
          <w:rStyle w:val="IGindeksgrny"/>
        </w:rPr>
        <w:t>)</w:t>
      </w:r>
      <w:r w:rsidR="00AC1CBF">
        <w:t xml:space="preserve">. </w:t>
      </w:r>
      <w:r w:rsidR="00AC1CBF">
        <w:rPr>
          <w:rStyle w:val="IGindeksgrny"/>
        </w:rPr>
        <w:t xml:space="preserve">  </w:t>
      </w:r>
    </w:p>
    <w:p w14:paraId="19D8798A" w14:textId="77777777" w:rsidR="00527689" w:rsidRDefault="00527689" w:rsidP="00AC1CBF">
      <w:pPr>
        <w:pStyle w:val="ARTartustawynprozporzdzenia"/>
        <w:rPr>
          <w:rStyle w:val="IGindeksgrny"/>
        </w:rPr>
      </w:pPr>
    </w:p>
    <w:p w14:paraId="20BB7362" w14:textId="77777777" w:rsidR="00AC1CBF" w:rsidRPr="00104331" w:rsidRDefault="00AC1CBF" w:rsidP="00AC1CBF">
      <w:pPr>
        <w:pStyle w:val="NAZORGWYDnazwaorganuwydajcegoprojektowanyakt"/>
      </w:pPr>
      <w:r w:rsidRPr="00104331">
        <w:t xml:space="preserve">MINISTER ZDROWIA </w:t>
      </w:r>
    </w:p>
    <w:p w14:paraId="52463EAF" w14:textId="77777777" w:rsidR="00AC1CBF" w:rsidRDefault="00AC1CBF" w:rsidP="00AC1CBF">
      <w:pPr>
        <w:pStyle w:val="ARTartustawynprozporzdzenia"/>
        <w:ind w:firstLine="0"/>
        <w:rPr>
          <w:rStyle w:val="IGindeksgrny"/>
        </w:rPr>
      </w:pPr>
    </w:p>
    <w:p w14:paraId="6BDF8F5F" w14:textId="77777777" w:rsidR="00AC1CBF" w:rsidRDefault="00AC1CBF" w:rsidP="00AC1CBF">
      <w:pPr>
        <w:pStyle w:val="ARTartustawynprozporzdzenia"/>
        <w:ind w:firstLine="0"/>
        <w:rPr>
          <w:rStyle w:val="IGindeksgrny"/>
        </w:rPr>
        <w:sectPr w:rsidR="00AC1CBF" w:rsidSect="00AC1CBF">
          <w:headerReference w:type="default" r:id="rId10"/>
          <w:footnotePr>
            <w:numStart w:val="2"/>
          </w:footnotePr>
          <w:type w:val="continuous"/>
          <w:pgSz w:w="11906" w:h="16838"/>
          <w:pgMar w:top="1560" w:right="1434" w:bottom="1560" w:left="1418" w:header="709" w:footer="709" w:gutter="0"/>
          <w:cols w:space="708"/>
          <w:titlePg/>
          <w:docGrid w:linePitch="254"/>
        </w:sectPr>
      </w:pPr>
    </w:p>
    <w:p w14:paraId="7A8C1A82" w14:textId="77777777" w:rsidR="009528A7" w:rsidRDefault="007E6A88" w:rsidP="003A006E">
      <w:pPr>
        <w:pStyle w:val="TEKSTZacznikido"/>
      </w:pPr>
      <w:r>
        <w:lastRenderedPageBreak/>
        <w:br w:type="page"/>
      </w:r>
      <w:r w:rsidR="00C94859" w:rsidRPr="00C94859">
        <w:lastRenderedPageBreak/>
        <w:t>Załącznik</w:t>
      </w:r>
      <w:r w:rsidR="009528A7">
        <w:t xml:space="preserve">i </w:t>
      </w:r>
      <w:r w:rsidR="00C94859" w:rsidRPr="00C94859">
        <w:t xml:space="preserve">do rozporządzenia Ministra Zdrowia </w:t>
      </w:r>
    </w:p>
    <w:p w14:paraId="6BE1D5C0" w14:textId="77777777" w:rsidR="00C94859" w:rsidRDefault="00C94859" w:rsidP="009528A7">
      <w:pPr>
        <w:pStyle w:val="TEKSTZacznikido"/>
      </w:pPr>
      <w:r w:rsidRPr="00C94859">
        <w:t>z dnia ............. 201</w:t>
      </w:r>
      <w:r>
        <w:t>6</w:t>
      </w:r>
      <w:r w:rsidRPr="00C94859">
        <w:t xml:space="preserve"> r. (poz. .....)</w:t>
      </w:r>
    </w:p>
    <w:p w14:paraId="51D20F93" w14:textId="77777777" w:rsidR="009569CD" w:rsidRDefault="009528A7" w:rsidP="007D2473">
      <w:pPr>
        <w:pStyle w:val="OZNZACZNIKAwskazanienrzacznika"/>
      </w:pPr>
      <w:r>
        <w:t>Załącznik nr 1</w:t>
      </w:r>
    </w:p>
    <w:p w14:paraId="02AC58BE" w14:textId="77777777" w:rsidR="00CF7073" w:rsidRPr="00CF7073" w:rsidRDefault="00CF7073" w:rsidP="00CF7073">
      <w:pPr>
        <w:pStyle w:val="TEKSTwTABELIWYRODKOWANYtekstwyrodkowanywpoziomie"/>
      </w:pPr>
      <w:r w:rsidRPr="00CF7073">
        <w:t xml:space="preserve">Zakres informacji, które powinny być przekazane kandydatom na dawców krwi i dawcom krwi przed jej oddaniem </w:t>
      </w:r>
    </w:p>
    <w:p w14:paraId="28D51870" w14:textId="77777777" w:rsidR="00CF7073" w:rsidRPr="00CF7073" w:rsidRDefault="00CF7073" w:rsidP="00CF7073">
      <w:pPr>
        <w:pStyle w:val="TEKSTwTABELIWYRODKOWANYtekstwyrodkowanywpoziomie"/>
        <w:jc w:val="left"/>
      </w:pPr>
    </w:p>
    <w:p w14:paraId="12174900" w14:textId="77777777" w:rsidR="003A006E" w:rsidRDefault="00CF7073" w:rsidP="00CF7073">
      <w:pPr>
        <w:pStyle w:val="TEKSTwTABELIWYRODKOWANYtekstwyrodkowanywpoziomie"/>
      </w:pPr>
      <w:r w:rsidRPr="00CF7073">
        <w:t>Kandydat na dawcę krwi lub dawca krwi otrzym</w:t>
      </w:r>
      <w:r w:rsidR="00105C5C">
        <w:t>uje</w:t>
      </w:r>
      <w:r w:rsidRPr="00CF7073">
        <w:t xml:space="preserve"> w przystępnej formie informacje na temat:</w:t>
      </w:r>
    </w:p>
    <w:p w14:paraId="225833FB" w14:textId="77777777" w:rsidR="00CF7073" w:rsidRPr="00CF7073" w:rsidRDefault="00CF7073" w:rsidP="00CF7073">
      <w:pPr>
        <w:pStyle w:val="PKTpunkt"/>
      </w:pPr>
      <w:r>
        <w:t>1)</w:t>
      </w:r>
      <w:r>
        <w:tab/>
      </w:r>
      <w:r w:rsidRPr="00CF7073">
        <w:t xml:space="preserve">roli krwi w ustroju, przebiegu procesu pobrania, rodzajów składników otrzymywanych z krwi pełnej lub uzyskanych metodą aferezy i ich wartości dla </w:t>
      </w:r>
      <w:r w:rsidR="00D47979">
        <w:t xml:space="preserve">biorcy krwi </w:t>
      </w:r>
      <w:r w:rsidRPr="00CF7073">
        <w:t>(odpowiednie materiały informacyjne);</w:t>
      </w:r>
    </w:p>
    <w:p w14:paraId="2CCEF9C1" w14:textId="77777777" w:rsidR="00CF7073" w:rsidRPr="00CF7073" w:rsidRDefault="00CF7073" w:rsidP="00CF7073">
      <w:pPr>
        <w:pStyle w:val="PKTpunkt"/>
      </w:pPr>
      <w:r>
        <w:t>2)</w:t>
      </w:r>
      <w:r>
        <w:tab/>
      </w:r>
      <w:r w:rsidRPr="00CF7073">
        <w:t xml:space="preserve">konieczności przeprowadzenia </w:t>
      </w:r>
      <w:r w:rsidR="004C2E24" w:rsidRPr="004C2E24">
        <w:t>weryfikacj</w:t>
      </w:r>
      <w:r w:rsidR="004C2E24">
        <w:t>i</w:t>
      </w:r>
      <w:r w:rsidR="004C2E24" w:rsidRPr="004C2E24">
        <w:t xml:space="preserve"> wypełnionego kwestionariusza dawcy krwi</w:t>
      </w:r>
      <w:r w:rsidR="004C2E24">
        <w:t xml:space="preserve">, </w:t>
      </w:r>
      <w:r w:rsidRPr="00CF7073">
        <w:t xml:space="preserve">wywiadu medycznego jak również </w:t>
      </w:r>
      <w:r w:rsidR="004C2E24">
        <w:t>badań kwalifikacyjnych</w:t>
      </w:r>
      <w:r w:rsidRPr="00CF7073">
        <w:t xml:space="preserve"> i laboratoryjnych, a także wyrażenia pisemnej zgody na pobranie;</w:t>
      </w:r>
    </w:p>
    <w:p w14:paraId="1B50253A" w14:textId="77777777" w:rsidR="00CF7073" w:rsidRPr="00CF7073" w:rsidRDefault="00CF7073" w:rsidP="00CF7073">
      <w:pPr>
        <w:pStyle w:val="PKTpunkt"/>
      </w:pPr>
      <w:r>
        <w:t>3)</w:t>
      </w:r>
      <w:r>
        <w:tab/>
      </w:r>
      <w:r w:rsidRPr="00CF7073">
        <w:t xml:space="preserve">możliwości czasowej lub stałej dyskwalifikacji lub </w:t>
      </w:r>
      <w:proofErr w:type="spellStart"/>
      <w:r w:rsidRPr="00CF7073">
        <w:t>samowykluczenia</w:t>
      </w:r>
      <w:proofErr w:type="spellEnd"/>
      <w:r w:rsidRPr="00CF7073">
        <w:t xml:space="preserve"> w sytuacji, gdy przetoczenie pobranej krwi mogłaby stworzyć zagrożenie dla biorcy krwi;</w:t>
      </w:r>
    </w:p>
    <w:p w14:paraId="6CB0D9D1" w14:textId="77777777" w:rsidR="00CF7073" w:rsidRPr="00CF7073" w:rsidRDefault="00CF7073" w:rsidP="00CF7073">
      <w:pPr>
        <w:pStyle w:val="PKTpunkt"/>
      </w:pPr>
      <w:r>
        <w:t>4)</w:t>
      </w:r>
      <w:r>
        <w:tab/>
      </w:r>
      <w:r w:rsidRPr="00CF7073">
        <w:t xml:space="preserve">zasad ochrony danych osobowych dawcy dotyczących jego tożsamości, stanu zdrowia i wyników badań </w:t>
      </w:r>
      <w:r w:rsidR="004C2E24">
        <w:t>kwalifikacyjnych</w:t>
      </w:r>
      <w:r w:rsidRPr="00CF7073">
        <w:t>;</w:t>
      </w:r>
    </w:p>
    <w:p w14:paraId="57A10629" w14:textId="77777777" w:rsidR="00CF7073" w:rsidRPr="00CF7073" w:rsidRDefault="00CF7073" w:rsidP="00CF7073">
      <w:pPr>
        <w:pStyle w:val="PKTpunkt"/>
      </w:pPr>
      <w:r>
        <w:t>5)</w:t>
      </w:r>
      <w:r>
        <w:tab/>
      </w:r>
      <w:r w:rsidRPr="00CF7073">
        <w:t>sytuacji, kiedy oddanie krwi może nie być wskazane ze względu na stan zdrowia dawcy</w:t>
      </w:r>
      <w:r w:rsidR="00D47979">
        <w:t xml:space="preserve"> krwi</w:t>
      </w:r>
      <w:r w:rsidRPr="00CF7073">
        <w:t>;</w:t>
      </w:r>
    </w:p>
    <w:p w14:paraId="577627A3" w14:textId="0930A10B" w:rsidR="00CF7073" w:rsidRDefault="00CF7073" w:rsidP="00CF7073">
      <w:pPr>
        <w:pStyle w:val="PKTpunkt"/>
      </w:pPr>
      <w:r>
        <w:t>6)</w:t>
      </w:r>
      <w:r>
        <w:tab/>
      </w:r>
      <w:r w:rsidRPr="00CF7073">
        <w:t>rodzaju zabiegu pobrania (</w:t>
      </w:r>
      <w:r w:rsidR="004C2E24">
        <w:t xml:space="preserve">w tym: </w:t>
      </w:r>
      <w:r w:rsidR="00965528">
        <w:t xml:space="preserve">pobranie alogenicznej lub autologicznej oraz </w:t>
      </w:r>
      <w:r w:rsidR="00283385">
        <w:t xml:space="preserve">pobranie </w:t>
      </w:r>
      <w:r w:rsidRPr="00CF7073">
        <w:t>kr</w:t>
      </w:r>
      <w:r w:rsidR="00283385">
        <w:t>wi</w:t>
      </w:r>
      <w:r w:rsidRPr="00CF7073">
        <w:t xml:space="preserve"> </w:t>
      </w:r>
      <w:r w:rsidR="00283385" w:rsidRPr="00CF7073">
        <w:t>pełn</w:t>
      </w:r>
      <w:r w:rsidR="00283385">
        <w:t>ej</w:t>
      </w:r>
      <w:r w:rsidRPr="00CF7073">
        <w:t>,</w:t>
      </w:r>
      <w:r w:rsidR="004C2E24">
        <w:t xml:space="preserve"> </w:t>
      </w:r>
      <w:r w:rsidR="00ED11E2">
        <w:t xml:space="preserve">zabieg aferezy, </w:t>
      </w:r>
      <w:r w:rsidR="004C2E24">
        <w:t xml:space="preserve">w szczególności </w:t>
      </w:r>
      <w:proofErr w:type="spellStart"/>
      <w:r w:rsidR="004C2E24">
        <w:t>trombaferez</w:t>
      </w:r>
      <w:r w:rsidR="00ED11E2">
        <w:t>a</w:t>
      </w:r>
      <w:proofErr w:type="spellEnd"/>
      <w:r w:rsidR="004C2E24">
        <w:t xml:space="preserve">, </w:t>
      </w:r>
      <w:proofErr w:type="spellStart"/>
      <w:r w:rsidR="004C2E24">
        <w:t>leukaferez</w:t>
      </w:r>
      <w:r w:rsidR="00ED11E2">
        <w:t>a</w:t>
      </w:r>
      <w:proofErr w:type="spellEnd"/>
      <w:r w:rsidR="00283385">
        <w:t xml:space="preserve">, </w:t>
      </w:r>
      <w:proofErr w:type="spellStart"/>
      <w:r w:rsidR="004C2E24">
        <w:t>erytroaferez</w:t>
      </w:r>
      <w:r w:rsidR="00ED11E2">
        <w:t>a</w:t>
      </w:r>
      <w:proofErr w:type="spellEnd"/>
      <w:r w:rsidR="00283385">
        <w:t xml:space="preserve"> i plazmafereza</w:t>
      </w:r>
      <w:r w:rsidR="00E5360C">
        <w:t xml:space="preserve"> </w:t>
      </w:r>
      <w:r w:rsidRPr="00CF7073">
        <w:t>lub inny zabieg), sposobu jego przeprowadzenia oraz dających się przewidzieć następstw dla stanu zdrowia</w:t>
      </w:r>
      <w:r w:rsidR="004C2E24">
        <w:t xml:space="preserve"> dawcy krwi</w:t>
      </w:r>
      <w:r w:rsidRPr="00CF7073">
        <w:t>;</w:t>
      </w:r>
      <w:r w:rsidR="00965528">
        <w:t xml:space="preserve"> </w:t>
      </w:r>
    </w:p>
    <w:p w14:paraId="74F0D065" w14:textId="47A8D430" w:rsidR="00965528" w:rsidRPr="00CF7073" w:rsidRDefault="00965528" w:rsidP="00965528">
      <w:pPr>
        <w:pStyle w:val="PKTpunkt"/>
      </w:pPr>
      <w:r>
        <w:t>7)</w:t>
      </w:r>
      <w:r>
        <w:tab/>
        <w:t>w</w:t>
      </w:r>
      <w:r w:rsidRPr="00965528">
        <w:t xml:space="preserve"> przypadku pobrań autologicznych</w:t>
      </w:r>
      <w:r w:rsidR="0032515A">
        <w:t xml:space="preserve"> </w:t>
      </w:r>
      <w:r w:rsidR="0032515A" w:rsidRPr="00131D6A">
        <w:t>–</w:t>
      </w:r>
      <w:r w:rsidRPr="00965528">
        <w:t xml:space="preserve"> możliwość, że krew </w:t>
      </w:r>
      <w:r w:rsidR="0032515A">
        <w:t>i jej składniki</w:t>
      </w:r>
      <w:r w:rsidRPr="00965528">
        <w:t xml:space="preserve"> mogą być niewystarczające dla potrzeb zamierzonego przetoczenia krwi</w:t>
      </w:r>
      <w:r>
        <w:t xml:space="preserve"> oraz </w:t>
      </w:r>
      <w:r w:rsidR="0032515A">
        <w:t>przyczyny</w:t>
      </w:r>
      <w:r w:rsidRPr="00965528">
        <w:t xml:space="preserve"> niewykorzystana </w:t>
      </w:r>
      <w:r w:rsidR="0032515A">
        <w:t>krwi</w:t>
      </w:r>
      <w:r w:rsidRPr="00965528">
        <w:t xml:space="preserve"> i </w:t>
      </w:r>
      <w:r w:rsidR="0032515A">
        <w:t>jej składników do przetoczenia</w:t>
      </w:r>
      <w:r w:rsidRPr="00965528">
        <w:t xml:space="preserve"> innym pacjentom.</w:t>
      </w:r>
    </w:p>
    <w:p w14:paraId="6ADB82C3" w14:textId="6916E3F8" w:rsidR="00CF7073" w:rsidRPr="00CF7073" w:rsidRDefault="00965528" w:rsidP="00CF7073">
      <w:pPr>
        <w:pStyle w:val="PKTpunkt"/>
      </w:pPr>
      <w:r>
        <w:t>8</w:t>
      </w:r>
      <w:r w:rsidR="00CF7073">
        <w:t>)</w:t>
      </w:r>
      <w:r w:rsidR="00CF7073">
        <w:tab/>
      </w:r>
      <w:r w:rsidR="00CF7073" w:rsidRPr="00CF7073">
        <w:t xml:space="preserve">możliwości wycofania zgody na oddanie krwi przed lub podczas </w:t>
      </w:r>
      <w:r w:rsidR="00ED11E2">
        <w:t>tego zabiegu</w:t>
      </w:r>
      <w:r w:rsidR="00CF7073" w:rsidRPr="00CF7073">
        <w:t>, a także poinformowania po oddaniu krwi o jej niezdatności do przetoczenia;</w:t>
      </w:r>
    </w:p>
    <w:p w14:paraId="023457EC" w14:textId="2E349AEE" w:rsidR="00CF7073" w:rsidRPr="00CF7073" w:rsidRDefault="00965528" w:rsidP="00CF7073">
      <w:pPr>
        <w:pStyle w:val="PKTpunkt"/>
      </w:pPr>
      <w:r>
        <w:t>9</w:t>
      </w:r>
      <w:r w:rsidR="00CF7073">
        <w:t>)</w:t>
      </w:r>
      <w:r w:rsidR="00CF7073">
        <w:tab/>
      </w:r>
      <w:r w:rsidR="00CF7073" w:rsidRPr="00CF7073">
        <w:t>możliwości wyjaśnienia w każdej chwili ewentualnych wątpliwości;</w:t>
      </w:r>
    </w:p>
    <w:p w14:paraId="2D1DAD8F" w14:textId="33285D46" w:rsidR="00CF7073" w:rsidRPr="00CF7073" w:rsidRDefault="00965528" w:rsidP="00CF7073">
      <w:pPr>
        <w:pStyle w:val="PKTpunkt"/>
      </w:pPr>
      <w:r>
        <w:lastRenderedPageBreak/>
        <w:t>10</w:t>
      </w:r>
      <w:r w:rsidR="00CF7073">
        <w:t>)</w:t>
      </w:r>
      <w:r w:rsidR="00CF7073">
        <w:tab/>
      </w:r>
      <w:r w:rsidR="00CF7073" w:rsidRPr="00CF7073">
        <w:t xml:space="preserve">przyczyn, dla których jednostka organizacyjna publicznej służby krwi </w:t>
      </w:r>
      <w:r w:rsidR="00D001B9">
        <w:t xml:space="preserve">musi być </w:t>
      </w:r>
      <w:r w:rsidR="00CF7073" w:rsidRPr="00CF7073">
        <w:t>informowan</w:t>
      </w:r>
      <w:r w:rsidR="00105C5C">
        <w:t>a</w:t>
      </w:r>
      <w:r w:rsidR="00CF7073" w:rsidRPr="00CF7073">
        <w:t xml:space="preserve"> o każdym wydarzeniu, które nastąpiło po oddaniu krwi i wskaz</w:t>
      </w:r>
      <w:r w:rsidR="00105C5C">
        <w:t>uje</w:t>
      </w:r>
      <w:r w:rsidR="00CF7073" w:rsidRPr="00CF7073">
        <w:t xml:space="preserve"> na jej nieprzydatność do przetoczenia;</w:t>
      </w:r>
    </w:p>
    <w:p w14:paraId="669822F6" w14:textId="2E8F24D7" w:rsidR="00CF7073" w:rsidRPr="00CF7073" w:rsidRDefault="00965528" w:rsidP="00CF7073">
      <w:pPr>
        <w:pStyle w:val="PKTpunkt"/>
      </w:pPr>
      <w:r>
        <w:t>11</w:t>
      </w:r>
      <w:r w:rsidR="00CF7073">
        <w:t>)</w:t>
      </w:r>
      <w:r w:rsidR="00CF7073">
        <w:tab/>
      </w:r>
      <w:r w:rsidR="00CF7073" w:rsidRPr="00CF7073">
        <w:t xml:space="preserve">ciążącym na jednostce organizacyjnej publicznej służby krwi obowiązku poinformowania </w:t>
      </w:r>
      <w:r w:rsidR="00D001B9">
        <w:t xml:space="preserve">kandydata na dawcę lub </w:t>
      </w:r>
      <w:r w:rsidR="00CF7073" w:rsidRPr="00CF7073">
        <w:t xml:space="preserve">dawcy </w:t>
      </w:r>
      <w:r w:rsidR="00D47979">
        <w:t xml:space="preserve">krwi </w:t>
      </w:r>
      <w:r w:rsidR="00CF7073" w:rsidRPr="00CF7073">
        <w:t>o nieprawidłowych wynikach badań</w:t>
      </w:r>
      <w:r w:rsidR="00D001B9">
        <w:t xml:space="preserve"> kwalifikacyjnych</w:t>
      </w:r>
      <w:r w:rsidR="00CF7073" w:rsidRPr="00CF7073">
        <w:t xml:space="preserve"> m</w:t>
      </w:r>
      <w:r w:rsidR="00105C5C">
        <w:t xml:space="preserve">ających </w:t>
      </w:r>
      <w:r w:rsidR="00CF7073" w:rsidRPr="00CF7073">
        <w:t>znaczenie dla jego zdrowia oraz o konieczności terminowego zgłoszenia się po odbiór wyników w razie otrzymania stosownego zawiadomienia;</w:t>
      </w:r>
    </w:p>
    <w:p w14:paraId="75822A4E" w14:textId="448520D9" w:rsidR="00CF7073" w:rsidRPr="00CF7073" w:rsidRDefault="00965528" w:rsidP="00CF7073">
      <w:pPr>
        <w:pStyle w:val="PKTpunkt"/>
      </w:pPr>
      <w:r>
        <w:t>12</w:t>
      </w:r>
      <w:r w:rsidR="00CF7073">
        <w:t>)</w:t>
      </w:r>
      <w:r w:rsidR="00CF7073">
        <w:tab/>
      </w:r>
      <w:r w:rsidR="00CF7073" w:rsidRPr="00CF7073">
        <w:t>konieczności powiadomienia jednostki organizacyjnej publicznej służby krwi w razie zmiany adresu miejsca zamieszkania lub adresu do korespondencji;</w:t>
      </w:r>
    </w:p>
    <w:p w14:paraId="1D9DE49B" w14:textId="424A0F61" w:rsidR="00CF7073" w:rsidRPr="00CF7073" w:rsidRDefault="00965528" w:rsidP="00CF7073">
      <w:pPr>
        <w:pStyle w:val="PKTpunkt"/>
      </w:pPr>
      <w:r>
        <w:t>13</w:t>
      </w:r>
      <w:r w:rsidR="00CF7073">
        <w:t>)</w:t>
      </w:r>
      <w:r w:rsidR="00CF7073">
        <w:tab/>
      </w:r>
      <w:r w:rsidR="00CF7073" w:rsidRPr="00CF7073">
        <w:t xml:space="preserve">dyskwalifikacji dawcy </w:t>
      </w:r>
      <w:r w:rsidR="00D47979">
        <w:t xml:space="preserve">krwi </w:t>
      </w:r>
      <w:r w:rsidR="00CF7073" w:rsidRPr="00CF7073">
        <w:t>i zniszczeniu oddanej przez niego krwi w razie wykrycia zakażenia HIV, HBV, HCV i innych chorób przenoszonych drogą przetoczeń;</w:t>
      </w:r>
    </w:p>
    <w:p w14:paraId="4D57C1EF" w14:textId="2E3CE151" w:rsidR="00CF7073" w:rsidRPr="00CF7073" w:rsidRDefault="00965528" w:rsidP="00CF7073">
      <w:pPr>
        <w:pStyle w:val="PKTpunkt"/>
      </w:pPr>
      <w:r>
        <w:t>14</w:t>
      </w:r>
      <w:r w:rsidR="00CF7073">
        <w:t>)</w:t>
      </w:r>
      <w:r w:rsidR="00CF7073">
        <w:tab/>
      </w:r>
      <w:r w:rsidR="00CF7073" w:rsidRPr="00CF7073">
        <w:t xml:space="preserve">możliwości umieszczenia w rejestrze prowadzonym przez jednostkę organizacyjną publicznej służby krwi informacji o </w:t>
      </w:r>
      <w:r w:rsidR="00D001B9">
        <w:t xml:space="preserve">przyczynie stałej albo czasowej dyskwalifikacji </w:t>
      </w:r>
      <w:r w:rsidR="00CF7073" w:rsidRPr="00CF7073">
        <w:t>do oddawania krwi;</w:t>
      </w:r>
    </w:p>
    <w:p w14:paraId="3AB7CD6F" w14:textId="709CBB89" w:rsidR="003E531E" w:rsidRDefault="00965528" w:rsidP="00CF7073">
      <w:pPr>
        <w:pStyle w:val="PKTpunkt"/>
      </w:pPr>
      <w:r>
        <w:t>15</w:t>
      </w:r>
      <w:r w:rsidR="00CF7073">
        <w:t>)</w:t>
      </w:r>
      <w:r w:rsidR="00CF7073">
        <w:tab/>
      </w:r>
      <w:r w:rsidR="00CF7073" w:rsidRPr="005D7DAF">
        <w:t xml:space="preserve">możliwości przetworzenia oddanej przez </w:t>
      </w:r>
      <w:r w:rsidR="00492200">
        <w:t xml:space="preserve">dawcę krwi </w:t>
      </w:r>
      <w:r w:rsidR="00CF7073" w:rsidRPr="005D7DAF">
        <w:t xml:space="preserve">w </w:t>
      </w:r>
      <w:r w:rsidR="00EA06C9">
        <w:t xml:space="preserve">produkty lecznicze </w:t>
      </w:r>
      <w:r w:rsidR="00CF7073" w:rsidRPr="005D7DAF">
        <w:t>w przypadku niewykorzystania jej do celów klinicznych</w:t>
      </w:r>
      <w:r w:rsidR="003E531E">
        <w:t>;</w:t>
      </w:r>
    </w:p>
    <w:p w14:paraId="3850EC79" w14:textId="15D0087C" w:rsidR="00CF7073" w:rsidRDefault="00965528" w:rsidP="00CF7073">
      <w:pPr>
        <w:pStyle w:val="PKTpunkt"/>
      </w:pPr>
      <w:r>
        <w:t>16</w:t>
      </w:r>
      <w:r w:rsidR="003E531E">
        <w:t>)</w:t>
      </w:r>
      <w:r>
        <w:tab/>
      </w:r>
      <w:r w:rsidR="003E531E">
        <w:t>możliwości zadania dodatkowych pytań i uzyskania na nie wyczerpującej odpowiedzi</w:t>
      </w:r>
      <w:r w:rsidR="00C87F3A">
        <w:t>.</w:t>
      </w:r>
    </w:p>
    <w:p w14:paraId="138CACEF" w14:textId="77777777" w:rsidR="00CF7073" w:rsidRPr="00CF7073" w:rsidRDefault="00CF7073" w:rsidP="00CF7073">
      <w:pPr>
        <w:pStyle w:val="PKTpunkt"/>
      </w:pPr>
    </w:p>
    <w:p w14:paraId="16D31189" w14:textId="77777777" w:rsidR="00CF7073" w:rsidRPr="00CF7073" w:rsidRDefault="00CF7073" w:rsidP="00CF7073">
      <w:pPr>
        <w:pStyle w:val="NIEARTTEKSTtekstnieartykuowanynppodstprawnarozplubpreambua"/>
      </w:pPr>
      <w:r w:rsidRPr="00CF7073">
        <w:t>Kandydat na dawcę krwi lub dawca krwi potwierdz</w:t>
      </w:r>
      <w:r w:rsidR="006F1756">
        <w:t>a na</w:t>
      </w:r>
      <w:r w:rsidRPr="00CF7073">
        <w:t xml:space="preserve"> pi</w:t>
      </w:r>
      <w:r w:rsidR="006F1756">
        <w:t>śmie</w:t>
      </w:r>
      <w:r w:rsidRPr="00CF7073">
        <w:t>, że został zapoznany z powyższymi informacjami oraz, że je rozumie.</w:t>
      </w:r>
    </w:p>
    <w:p w14:paraId="3A547DE6" w14:textId="77777777" w:rsidR="000E21A6" w:rsidRDefault="007E6A88" w:rsidP="00D9583A">
      <w:pPr>
        <w:pStyle w:val="OZNZACZNIKAwskazanienrzacznika"/>
      </w:pPr>
      <w:r>
        <w:br w:type="page"/>
      </w:r>
      <w:r w:rsidR="00C94859" w:rsidRPr="00C94859">
        <w:lastRenderedPageBreak/>
        <w:t xml:space="preserve">Załącznik </w:t>
      </w:r>
      <w:r w:rsidR="00C94859">
        <w:t xml:space="preserve">nr 2 </w:t>
      </w:r>
    </w:p>
    <w:p w14:paraId="566EC52F" w14:textId="77777777" w:rsidR="00AB0EB2" w:rsidRDefault="006F70BA" w:rsidP="00AB0EB2">
      <w:pPr>
        <w:pStyle w:val="TEKSTwTABELIWYRODKOWANYtekstwyrodkowanywpoziomie"/>
      </w:pPr>
      <w:r w:rsidRPr="006F70BA">
        <w:t>Kryteria kwalifikowania dawców do oddawania krwi pełnej i jej składników</w:t>
      </w:r>
    </w:p>
    <w:p w14:paraId="728F73BD" w14:textId="77777777" w:rsidR="00264AE1" w:rsidRPr="00264AE1" w:rsidRDefault="00264AE1" w:rsidP="00264AE1"/>
    <w:p w14:paraId="0458076F" w14:textId="77777777" w:rsidR="00264AE1" w:rsidRPr="00450989" w:rsidRDefault="00264AE1" w:rsidP="00264AE1">
      <w:pPr>
        <w:pStyle w:val="NIEARTTEKSTtekstnieartykuowanynppodstprawnarozplubpreambua"/>
        <w:rPr>
          <w:rStyle w:val="Ppogrubienie"/>
        </w:rPr>
      </w:pPr>
      <w:r w:rsidRPr="00450989">
        <w:rPr>
          <w:rStyle w:val="Ppogrubienie"/>
        </w:rPr>
        <w:t>1. Kryteria dopuszczenia dawców do oddawania krwi pełnej lub jej składników </w:t>
      </w:r>
    </w:p>
    <w:p w14:paraId="4021E4D9" w14:textId="77777777" w:rsidR="00264AE1" w:rsidRPr="00264AE1" w:rsidRDefault="00264AE1" w:rsidP="00264AE1">
      <w:pPr>
        <w:pStyle w:val="NIEARTTEKSTtekstnieartykuowanynppodstprawnarozplubpreambua"/>
      </w:pPr>
      <w:r w:rsidRPr="00264AE1">
        <w:t>1.1 Wiek i badanie przedmiotowe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2650"/>
        <w:gridCol w:w="4102"/>
      </w:tblGrid>
      <w:tr w:rsidR="00492200" w14:paraId="3B7F9EDC" w14:textId="77777777" w:rsidTr="00866E67">
        <w:tc>
          <w:tcPr>
            <w:tcW w:w="817" w:type="dxa"/>
            <w:tcBorders>
              <w:top w:val="single" w:sz="4" w:space="0" w:color="auto"/>
              <w:left w:val="single" w:sz="4" w:space="0" w:color="auto"/>
              <w:bottom w:val="single" w:sz="4" w:space="0" w:color="auto"/>
              <w:right w:val="single" w:sz="4" w:space="0" w:color="auto"/>
            </w:tcBorders>
          </w:tcPr>
          <w:p w14:paraId="6F552329" w14:textId="77777777" w:rsidR="00492200" w:rsidRPr="00264AE1" w:rsidRDefault="00492200">
            <w:pPr>
              <w:pStyle w:val="TEKSTwTABELIWYRODKOWANYtekstwyrodkowanywpoziomie"/>
              <w:rPr>
                <w:rStyle w:val="Ppogrubienie"/>
              </w:rPr>
            </w:pPr>
            <w:r>
              <w:rPr>
                <w:rStyle w:val="Ppogrubienie"/>
              </w:rPr>
              <w:t xml:space="preserve">Lp. </w:t>
            </w:r>
          </w:p>
        </w:tc>
        <w:tc>
          <w:tcPr>
            <w:tcW w:w="1701" w:type="dxa"/>
            <w:tcBorders>
              <w:top w:val="single" w:sz="4" w:space="0" w:color="auto"/>
              <w:left w:val="single" w:sz="4" w:space="0" w:color="auto"/>
              <w:bottom w:val="single" w:sz="4" w:space="0" w:color="auto"/>
              <w:right w:val="single" w:sz="4" w:space="0" w:color="auto"/>
            </w:tcBorders>
            <w:hideMark/>
          </w:tcPr>
          <w:p w14:paraId="3032BCEE" w14:textId="77777777" w:rsidR="00492200" w:rsidRPr="00264AE1" w:rsidRDefault="00492200">
            <w:pPr>
              <w:pStyle w:val="TEKSTwTABELIWYRODKOWANYtekstwyrodkowanywpoziomie"/>
              <w:rPr>
                <w:rStyle w:val="Ppogrubienie"/>
              </w:rPr>
            </w:pPr>
            <w:r w:rsidRPr="00264AE1">
              <w:rPr>
                <w:rStyle w:val="Ppogrubienie"/>
              </w:rPr>
              <w:t xml:space="preserve">Kryterium </w:t>
            </w:r>
          </w:p>
        </w:tc>
        <w:tc>
          <w:tcPr>
            <w:tcW w:w="6752" w:type="dxa"/>
            <w:gridSpan w:val="2"/>
            <w:tcBorders>
              <w:top w:val="single" w:sz="4" w:space="0" w:color="auto"/>
              <w:left w:val="single" w:sz="4" w:space="0" w:color="auto"/>
              <w:bottom w:val="single" w:sz="4" w:space="0" w:color="auto"/>
              <w:right w:val="single" w:sz="4" w:space="0" w:color="auto"/>
            </w:tcBorders>
            <w:hideMark/>
          </w:tcPr>
          <w:p w14:paraId="2586B2A1" w14:textId="77777777" w:rsidR="00492200" w:rsidRPr="00264AE1" w:rsidRDefault="00492200" w:rsidP="00264AE1">
            <w:pPr>
              <w:pStyle w:val="TEKSTwTABELIWYRODKOWANYtekstwyrodkowanywpoziomie"/>
              <w:rPr>
                <w:rStyle w:val="Ppogrubienie"/>
              </w:rPr>
            </w:pPr>
            <w:r w:rsidRPr="00264AE1">
              <w:rPr>
                <w:rStyle w:val="Ppogrubienie"/>
              </w:rPr>
              <w:t>Szczegółowy opis kryterium oraz warunk</w:t>
            </w:r>
            <w:r>
              <w:rPr>
                <w:rStyle w:val="Ppogrubienie"/>
              </w:rPr>
              <w:t>u kwalifikowania do</w:t>
            </w:r>
            <w:r w:rsidRPr="00264AE1">
              <w:rPr>
                <w:rStyle w:val="Ppogrubienie"/>
              </w:rPr>
              <w:t xml:space="preserve"> pobierania krwi od kandydata na dawcę krwi albo dawcy krwi</w:t>
            </w:r>
          </w:p>
        </w:tc>
      </w:tr>
      <w:tr w:rsidR="00492200" w14:paraId="0F23B29A" w14:textId="77777777" w:rsidTr="00866E67">
        <w:tc>
          <w:tcPr>
            <w:tcW w:w="817" w:type="dxa"/>
            <w:vMerge w:val="restart"/>
            <w:tcBorders>
              <w:top w:val="single" w:sz="4" w:space="0" w:color="auto"/>
              <w:left w:val="single" w:sz="4" w:space="0" w:color="auto"/>
              <w:right w:val="single" w:sz="4" w:space="0" w:color="auto"/>
            </w:tcBorders>
          </w:tcPr>
          <w:p w14:paraId="29FE25A1" w14:textId="77777777" w:rsidR="00492200" w:rsidRPr="00264AE1" w:rsidRDefault="00492200" w:rsidP="00264AE1">
            <w:pPr>
              <w:pStyle w:val="CZWSPP1wTABELIczwsppoziomu1numeracjiwtabeli"/>
            </w:pPr>
            <w:r>
              <w:t>1.</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5F664D0" w14:textId="77777777" w:rsidR="00492200" w:rsidRPr="00264AE1" w:rsidRDefault="00492200" w:rsidP="00264AE1">
            <w:pPr>
              <w:pStyle w:val="CZWSPP1wTABELIczwsppoziomu1numeracjiwtabeli"/>
            </w:pPr>
            <w:r w:rsidRPr="00264AE1">
              <w:t>Wiek</w:t>
            </w:r>
          </w:p>
        </w:tc>
        <w:tc>
          <w:tcPr>
            <w:tcW w:w="2650" w:type="dxa"/>
            <w:tcBorders>
              <w:top w:val="single" w:sz="4" w:space="0" w:color="auto"/>
              <w:left w:val="single" w:sz="4" w:space="0" w:color="auto"/>
              <w:bottom w:val="single" w:sz="4" w:space="0" w:color="auto"/>
              <w:right w:val="single" w:sz="4" w:space="0" w:color="auto"/>
            </w:tcBorders>
            <w:hideMark/>
          </w:tcPr>
          <w:p w14:paraId="28863271" w14:textId="77777777" w:rsidR="00492200" w:rsidRPr="00264AE1" w:rsidRDefault="00492200" w:rsidP="00C345F8">
            <w:pPr>
              <w:pStyle w:val="CZWSPP1wTABELIczwsppoziomu1numeracjiwtabeli"/>
            </w:pPr>
            <w:r>
              <w:t>18-</w:t>
            </w:r>
            <w:r w:rsidRPr="00264AE1">
              <w:t>65 lat</w:t>
            </w:r>
          </w:p>
        </w:tc>
        <w:tc>
          <w:tcPr>
            <w:tcW w:w="4102" w:type="dxa"/>
            <w:tcBorders>
              <w:top w:val="single" w:sz="4" w:space="0" w:color="auto"/>
              <w:left w:val="single" w:sz="4" w:space="0" w:color="auto"/>
              <w:bottom w:val="single" w:sz="4" w:space="0" w:color="auto"/>
              <w:right w:val="single" w:sz="4" w:space="0" w:color="auto"/>
            </w:tcBorders>
          </w:tcPr>
          <w:p w14:paraId="3F49D957" w14:textId="77777777" w:rsidR="00492200" w:rsidRPr="00264AE1" w:rsidRDefault="00492200" w:rsidP="00264AE1">
            <w:pPr>
              <w:pStyle w:val="CZWSPP1wTABELIczwsppoziomu1numeracjiwtabeli"/>
            </w:pPr>
          </w:p>
        </w:tc>
      </w:tr>
      <w:tr w:rsidR="00492200" w14:paraId="5D350BD7" w14:textId="77777777" w:rsidTr="00866E67">
        <w:tc>
          <w:tcPr>
            <w:tcW w:w="817" w:type="dxa"/>
            <w:vMerge/>
            <w:tcBorders>
              <w:left w:val="single" w:sz="4" w:space="0" w:color="auto"/>
              <w:right w:val="single" w:sz="4" w:space="0" w:color="auto"/>
            </w:tcBorders>
          </w:tcPr>
          <w:p w14:paraId="6787892C" w14:textId="77777777" w:rsidR="00492200" w:rsidRPr="00264AE1" w:rsidRDefault="00492200" w:rsidP="00264AE1">
            <w:pPr>
              <w:pStyle w:val="CZWSPP1wTABELIczwsppoziomu1numeracjiwtabeli"/>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5A644E9" w14:textId="77777777" w:rsidR="00492200" w:rsidRPr="00264AE1" w:rsidRDefault="00492200" w:rsidP="00264AE1">
            <w:pPr>
              <w:pStyle w:val="CZWSPP1wTABELIczwsppoziomu1numeracjiwtabeli"/>
            </w:pPr>
          </w:p>
        </w:tc>
        <w:tc>
          <w:tcPr>
            <w:tcW w:w="2650" w:type="dxa"/>
            <w:tcBorders>
              <w:top w:val="single" w:sz="4" w:space="0" w:color="auto"/>
              <w:left w:val="single" w:sz="4" w:space="0" w:color="auto"/>
              <w:bottom w:val="single" w:sz="4" w:space="0" w:color="auto"/>
              <w:right w:val="single" w:sz="4" w:space="0" w:color="auto"/>
            </w:tcBorders>
          </w:tcPr>
          <w:p w14:paraId="66AE7602" w14:textId="77777777" w:rsidR="00492200" w:rsidRPr="00264AE1" w:rsidRDefault="00492200" w:rsidP="00C345F8">
            <w:pPr>
              <w:pStyle w:val="CZWSPP1wTABELIczwsppoziomu1numeracjiwtabeli"/>
            </w:pPr>
            <w:r w:rsidRPr="00C345F8">
              <w:sym w:font="Symbol" w:char="F0B3"/>
            </w:r>
            <w:r>
              <w:t xml:space="preserve"> 17 &lt; 18 lat</w:t>
            </w:r>
          </w:p>
        </w:tc>
        <w:tc>
          <w:tcPr>
            <w:tcW w:w="4102" w:type="dxa"/>
            <w:tcBorders>
              <w:top w:val="single" w:sz="4" w:space="0" w:color="auto"/>
              <w:left w:val="single" w:sz="4" w:space="0" w:color="auto"/>
              <w:bottom w:val="single" w:sz="4" w:space="0" w:color="auto"/>
              <w:right w:val="single" w:sz="4" w:space="0" w:color="auto"/>
            </w:tcBorders>
            <w:hideMark/>
          </w:tcPr>
          <w:p w14:paraId="4DF222FC" w14:textId="77777777" w:rsidR="00492200" w:rsidRPr="00264AE1" w:rsidRDefault="00492200" w:rsidP="003F3D71">
            <w:pPr>
              <w:pStyle w:val="CZWSPP1wTABELIczwsppoziomu1numeracjiwtabeli"/>
            </w:pPr>
            <w:r w:rsidRPr="00264AE1">
              <w:t xml:space="preserve">na warunkach określonych w art. 15 ust. 2 ustawy </w:t>
            </w:r>
          </w:p>
        </w:tc>
      </w:tr>
      <w:tr w:rsidR="00492200" w14:paraId="0A69091E" w14:textId="77777777" w:rsidTr="00866E67">
        <w:tc>
          <w:tcPr>
            <w:tcW w:w="817" w:type="dxa"/>
            <w:vMerge/>
            <w:tcBorders>
              <w:left w:val="single" w:sz="4" w:space="0" w:color="auto"/>
              <w:right w:val="single" w:sz="4" w:space="0" w:color="auto"/>
            </w:tcBorders>
          </w:tcPr>
          <w:p w14:paraId="57141F54" w14:textId="77777777" w:rsidR="00492200" w:rsidRPr="00264AE1" w:rsidRDefault="00492200" w:rsidP="00264AE1">
            <w:pPr>
              <w:pStyle w:val="CZWSPP1wTABELIczwsppoziomu1numeracjiwtabeli"/>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A02CCC2" w14:textId="77777777" w:rsidR="00492200" w:rsidRPr="00264AE1" w:rsidRDefault="00492200" w:rsidP="00264AE1">
            <w:pPr>
              <w:pStyle w:val="CZWSPP1wTABELIczwsppoziomu1numeracjiwtabeli"/>
            </w:pPr>
          </w:p>
        </w:tc>
        <w:tc>
          <w:tcPr>
            <w:tcW w:w="2650" w:type="dxa"/>
            <w:tcBorders>
              <w:top w:val="single" w:sz="4" w:space="0" w:color="auto"/>
              <w:left w:val="single" w:sz="4" w:space="0" w:color="auto"/>
              <w:bottom w:val="single" w:sz="4" w:space="0" w:color="auto"/>
              <w:right w:val="single" w:sz="4" w:space="0" w:color="auto"/>
            </w:tcBorders>
            <w:hideMark/>
          </w:tcPr>
          <w:p w14:paraId="1875EFE4" w14:textId="77777777" w:rsidR="00492200" w:rsidRPr="00264AE1" w:rsidRDefault="00492200" w:rsidP="00264AE1">
            <w:pPr>
              <w:pStyle w:val="CZWSPP1wTABELIczwsppoziomu1numeracjiwtabeli"/>
            </w:pPr>
            <w:r w:rsidRPr="00264AE1">
              <w:t xml:space="preserve">dawcy pierwszorazowi w wieku </w:t>
            </w:r>
            <w:r w:rsidRPr="00C345F8">
              <w:sym w:font="Symbol" w:char="F0B3"/>
            </w:r>
            <w:r>
              <w:t xml:space="preserve"> </w:t>
            </w:r>
            <w:r w:rsidRPr="00264AE1">
              <w:t>60 lat</w:t>
            </w:r>
          </w:p>
        </w:tc>
        <w:tc>
          <w:tcPr>
            <w:tcW w:w="4102" w:type="dxa"/>
            <w:tcBorders>
              <w:top w:val="single" w:sz="4" w:space="0" w:color="auto"/>
              <w:left w:val="single" w:sz="4" w:space="0" w:color="auto"/>
              <w:bottom w:val="single" w:sz="4" w:space="0" w:color="auto"/>
              <w:right w:val="single" w:sz="4" w:space="0" w:color="auto"/>
            </w:tcBorders>
            <w:hideMark/>
          </w:tcPr>
          <w:p w14:paraId="7F80C741" w14:textId="77777777" w:rsidR="00492200" w:rsidRPr="00264AE1" w:rsidRDefault="00492200" w:rsidP="00264AE1">
            <w:pPr>
              <w:pStyle w:val="CZWSPP1wTABELIczwsppoziomu1numeracjiwtabeli"/>
            </w:pPr>
            <w:r w:rsidRPr="00264AE1">
              <w:t>do decyzji lekarza w jednostce służby krwi, o której mowa w art. 4 ust. 3 pkt 2-4</w:t>
            </w:r>
          </w:p>
        </w:tc>
      </w:tr>
      <w:tr w:rsidR="00492200" w14:paraId="36EA3124" w14:textId="77777777" w:rsidTr="00866E67">
        <w:tc>
          <w:tcPr>
            <w:tcW w:w="817" w:type="dxa"/>
            <w:vMerge/>
            <w:tcBorders>
              <w:left w:val="single" w:sz="4" w:space="0" w:color="auto"/>
              <w:bottom w:val="single" w:sz="4" w:space="0" w:color="auto"/>
              <w:right w:val="single" w:sz="4" w:space="0" w:color="auto"/>
            </w:tcBorders>
          </w:tcPr>
          <w:p w14:paraId="7A8F8B27" w14:textId="77777777" w:rsidR="00492200" w:rsidRPr="00264AE1" w:rsidRDefault="00492200" w:rsidP="00264AE1">
            <w:pPr>
              <w:pStyle w:val="CZWSPP1wTABELIczwsppoziomu1numeracjiwtabeli"/>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FDA4D67" w14:textId="77777777" w:rsidR="00492200" w:rsidRPr="00264AE1" w:rsidRDefault="00492200" w:rsidP="00264AE1">
            <w:pPr>
              <w:pStyle w:val="CZWSPP1wTABELIczwsppoziomu1numeracjiwtabeli"/>
            </w:pPr>
          </w:p>
        </w:tc>
        <w:tc>
          <w:tcPr>
            <w:tcW w:w="2650" w:type="dxa"/>
            <w:tcBorders>
              <w:top w:val="single" w:sz="4" w:space="0" w:color="auto"/>
              <w:left w:val="single" w:sz="4" w:space="0" w:color="auto"/>
              <w:bottom w:val="single" w:sz="4" w:space="0" w:color="auto"/>
              <w:right w:val="single" w:sz="4" w:space="0" w:color="auto"/>
            </w:tcBorders>
            <w:hideMark/>
          </w:tcPr>
          <w:p w14:paraId="24D85A89" w14:textId="77777777" w:rsidR="00492200" w:rsidRPr="00264AE1" w:rsidRDefault="00492200" w:rsidP="00264AE1">
            <w:pPr>
              <w:pStyle w:val="CZWSPP1wTABELIczwsppoziomu1numeracjiwtabeli"/>
            </w:pPr>
            <w:r>
              <w:t>&gt;</w:t>
            </w:r>
            <w:r w:rsidRPr="00264AE1">
              <w:t xml:space="preserve"> 65 lat</w:t>
            </w:r>
          </w:p>
        </w:tc>
        <w:tc>
          <w:tcPr>
            <w:tcW w:w="4102" w:type="dxa"/>
            <w:tcBorders>
              <w:top w:val="single" w:sz="4" w:space="0" w:color="auto"/>
              <w:left w:val="single" w:sz="4" w:space="0" w:color="auto"/>
              <w:bottom w:val="single" w:sz="4" w:space="0" w:color="auto"/>
              <w:right w:val="single" w:sz="4" w:space="0" w:color="auto"/>
            </w:tcBorders>
            <w:hideMark/>
          </w:tcPr>
          <w:p w14:paraId="1B1605D3" w14:textId="77777777" w:rsidR="00492200" w:rsidRPr="00264AE1" w:rsidRDefault="00492200" w:rsidP="00264AE1">
            <w:pPr>
              <w:pStyle w:val="CZWSPP1wTABELIczwsppoziomu1numeracjiwtabeli"/>
            </w:pPr>
            <w:r w:rsidRPr="00264AE1">
              <w:t>po corocznym uzyskaniu zgody lekarza w jednostce organizacyjnej publicznej służby krwi</w:t>
            </w:r>
          </w:p>
        </w:tc>
      </w:tr>
      <w:tr w:rsidR="00492200" w14:paraId="4A0B960F" w14:textId="77777777" w:rsidTr="00866E67">
        <w:tc>
          <w:tcPr>
            <w:tcW w:w="817" w:type="dxa"/>
            <w:tcBorders>
              <w:top w:val="single" w:sz="4" w:space="0" w:color="auto"/>
              <w:left w:val="single" w:sz="4" w:space="0" w:color="auto"/>
              <w:bottom w:val="single" w:sz="4" w:space="0" w:color="auto"/>
              <w:right w:val="single" w:sz="4" w:space="0" w:color="auto"/>
            </w:tcBorders>
          </w:tcPr>
          <w:p w14:paraId="516C027A" w14:textId="77777777" w:rsidR="00492200" w:rsidRPr="00264AE1" w:rsidRDefault="00492200" w:rsidP="00264AE1">
            <w:pPr>
              <w:pStyle w:val="CZWSPP1wTABELIczwsppoziomu1numeracjiwtabeli"/>
            </w:pPr>
            <w:r>
              <w:t xml:space="preserve">2. </w:t>
            </w:r>
          </w:p>
        </w:tc>
        <w:tc>
          <w:tcPr>
            <w:tcW w:w="1701" w:type="dxa"/>
            <w:tcBorders>
              <w:top w:val="single" w:sz="4" w:space="0" w:color="auto"/>
              <w:left w:val="single" w:sz="4" w:space="0" w:color="auto"/>
              <w:bottom w:val="single" w:sz="4" w:space="0" w:color="auto"/>
              <w:right w:val="single" w:sz="4" w:space="0" w:color="auto"/>
            </w:tcBorders>
            <w:hideMark/>
          </w:tcPr>
          <w:p w14:paraId="37A7D857" w14:textId="68E2323E" w:rsidR="00492200" w:rsidRPr="00264AE1" w:rsidRDefault="009120F5" w:rsidP="00264AE1">
            <w:pPr>
              <w:pStyle w:val="CZWSPP1wTABELIczwsppoziomu1numeracjiwtabeli"/>
            </w:pPr>
            <w:r>
              <w:t>Waga</w:t>
            </w:r>
            <w:r w:rsidRPr="00264AE1">
              <w:t xml:space="preserve"> </w:t>
            </w:r>
            <w:r w:rsidR="00492200" w:rsidRPr="00264AE1">
              <w:t>ciała</w:t>
            </w:r>
          </w:p>
        </w:tc>
        <w:tc>
          <w:tcPr>
            <w:tcW w:w="6752" w:type="dxa"/>
            <w:gridSpan w:val="2"/>
            <w:tcBorders>
              <w:top w:val="single" w:sz="4" w:space="0" w:color="auto"/>
              <w:left w:val="single" w:sz="4" w:space="0" w:color="auto"/>
              <w:bottom w:val="single" w:sz="4" w:space="0" w:color="auto"/>
              <w:right w:val="single" w:sz="4" w:space="0" w:color="auto"/>
            </w:tcBorders>
            <w:hideMark/>
          </w:tcPr>
          <w:p w14:paraId="3D23492A" w14:textId="77777777" w:rsidR="00492200" w:rsidRPr="00264AE1" w:rsidRDefault="00492200" w:rsidP="00264AE1">
            <w:pPr>
              <w:pStyle w:val="CZWSPP1wTABELIczwsppoziomu1numeracjiwtabeli"/>
            </w:pPr>
            <w:r>
              <w:t xml:space="preserve">1) </w:t>
            </w:r>
            <w:r w:rsidRPr="00264AE1">
              <w:sym w:font="Symbol" w:char="F0B3"/>
            </w:r>
            <w:r w:rsidRPr="00264AE1">
              <w:t>50 kg dla dawców krwi pełnej lub jej składników otrzymywanych metodą aferezy</w:t>
            </w:r>
            <w:r>
              <w:t>;</w:t>
            </w:r>
          </w:p>
          <w:p w14:paraId="0DBA95A5" w14:textId="77777777" w:rsidR="00492200" w:rsidRPr="00264AE1" w:rsidRDefault="00492200" w:rsidP="00264AE1">
            <w:pPr>
              <w:pStyle w:val="CZWSPP1wTABELIczwsppoziomu1numeracjiwtabeli"/>
            </w:pPr>
            <w:r>
              <w:t xml:space="preserve">2) </w:t>
            </w:r>
            <w:r w:rsidRPr="00264AE1">
              <w:sym w:font="Symbol" w:char="F0B3"/>
            </w:r>
            <w:r w:rsidRPr="00264AE1">
              <w:t>70 kg dla dawców oddających 2 jednostki koncentratu krwinek czerwonych (</w:t>
            </w:r>
            <w:proofErr w:type="spellStart"/>
            <w:r w:rsidRPr="00264AE1">
              <w:t>KKCz</w:t>
            </w:r>
            <w:proofErr w:type="spellEnd"/>
            <w:r w:rsidRPr="00264AE1">
              <w:t xml:space="preserve">) metodą </w:t>
            </w:r>
            <w:proofErr w:type="spellStart"/>
            <w:r w:rsidRPr="00264AE1">
              <w:t>erytroaferezy</w:t>
            </w:r>
            <w:proofErr w:type="spellEnd"/>
            <w:r w:rsidRPr="00264AE1">
              <w:t xml:space="preserve"> (podwójna </w:t>
            </w:r>
            <w:proofErr w:type="spellStart"/>
            <w:r w:rsidRPr="00264AE1">
              <w:t>erytroafereza</w:t>
            </w:r>
            <w:proofErr w:type="spellEnd"/>
            <w:r w:rsidRPr="00264AE1">
              <w:t>)</w:t>
            </w:r>
            <w:r>
              <w:t>.</w:t>
            </w:r>
          </w:p>
        </w:tc>
      </w:tr>
      <w:tr w:rsidR="00492200" w14:paraId="16867074" w14:textId="77777777" w:rsidTr="00866E67">
        <w:tc>
          <w:tcPr>
            <w:tcW w:w="817" w:type="dxa"/>
            <w:tcBorders>
              <w:top w:val="single" w:sz="4" w:space="0" w:color="auto"/>
              <w:left w:val="single" w:sz="4" w:space="0" w:color="auto"/>
              <w:bottom w:val="single" w:sz="4" w:space="0" w:color="auto"/>
              <w:right w:val="single" w:sz="4" w:space="0" w:color="auto"/>
            </w:tcBorders>
          </w:tcPr>
          <w:p w14:paraId="3988A35A" w14:textId="77777777" w:rsidR="00492200" w:rsidRPr="00264AE1" w:rsidRDefault="00492200" w:rsidP="00264AE1">
            <w:pPr>
              <w:pStyle w:val="CZWSPP1wTABELIczwsppoziomu1numeracjiwtabeli"/>
            </w:pPr>
            <w:r>
              <w:t xml:space="preserve">3. </w:t>
            </w:r>
          </w:p>
        </w:tc>
        <w:tc>
          <w:tcPr>
            <w:tcW w:w="1701" w:type="dxa"/>
            <w:tcBorders>
              <w:top w:val="single" w:sz="4" w:space="0" w:color="auto"/>
              <w:left w:val="single" w:sz="4" w:space="0" w:color="auto"/>
              <w:bottom w:val="single" w:sz="4" w:space="0" w:color="auto"/>
              <w:right w:val="single" w:sz="4" w:space="0" w:color="auto"/>
            </w:tcBorders>
            <w:hideMark/>
          </w:tcPr>
          <w:p w14:paraId="49EF8EBC" w14:textId="77777777" w:rsidR="00492200" w:rsidRPr="00264AE1" w:rsidRDefault="00492200" w:rsidP="00264AE1">
            <w:pPr>
              <w:pStyle w:val="CZWSPP1wTABELIczwsppoziomu1numeracjiwtabeli"/>
            </w:pPr>
            <w:r w:rsidRPr="00264AE1">
              <w:t>Ciśnienie tętnicze</w:t>
            </w:r>
          </w:p>
        </w:tc>
        <w:tc>
          <w:tcPr>
            <w:tcW w:w="6752" w:type="dxa"/>
            <w:gridSpan w:val="2"/>
            <w:tcBorders>
              <w:top w:val="single" w:sz="4" w:space="0" w:color="auto"/>
              <w:left w:val="single" w:sz="4" w:space="0" w:color="auto"/>
              <w:bottom w:val="single" w:sz="4" w:space="0" w:color="auto"/>
              <w:right w:val="single" w:sz="4" w:space="0" w:color="auto"/>
            </w:tcBorders>
            <w:hideMark/>
          </w:tcPr>
          <w:p w14:paraId="06439060" w14:textId="77777777" w:rsidR="00492200" w:rsidRPr="00264AE1" w:rsidRDefault="00492200" w:rsidP="00264AE1">
            <w:pPr>
              <w:pStyle w:val="CZWSPP1wTABELIczwsppoziomu1numeracjiwtabeli"/>
            </w:pPr>
            <w:r w:rsidRPr="00264AE1">
              <w:t>Wartość ciśnienia tętniczego nie powinna przekraczać:</w:t>
            </w:r>
          </w:p>
          <w:p w14:paraId="690670B0" w14:textId="77777777" w:rsidR="00492200" w:rsidRPr="00264AE1" w:rsidRDefault="00492200" w:rsidP="00264AE1">
            <w:pPr>
              <w:pStyle w:val="CZWSPP1wTABELIczwsppoziomu1numeracjiwtabeli"/>
            </w:pPr>
            <w:r>
              <w:t>1)</w:t>
            </w:r>
            <w:r w:rsidRPr="00264AE1">
              <w:t xml:space="preserve"> 180mm Hg dla ciśnienia skurczowego</w:t>
            </w:r>
            <w:r>
              <w:t>;</w:t>
            </w:r>
          </w:p>
          <w:p w14:paraId="371E0A85" w14:textId="77777777" w:rsidR="00492200" w:rsidRPr="00264AE1" w:rsidRDefault="00492200" w:rsidP="00264AE1">
            <w:pPr>
              <w:pStyle w:val="CZWSPP1wTABELIczwsppoziomu1numeracjiwtabeli"/>
            </w:pPr>
            <w:r>
              <w:t>2)</w:t>
            </w:r>
            <w:r w:rsidRPr="00264AE1">
              <w:t xml:space="preserve"> 100mm Hg dla ciśnienia rozkurczowego</w:t>
            </w:r>
            <w:r>
              <w:t>.</w:t>
            </w:r>
          </w:p>
        </w:tc>
      </w:tr>
      <w:tr w:rsidR="00492200" w14:paraId="5E8DBC59" w14:textId="77777777" w:rsidTr="00866E67">
        <w:tc>
          <w:tcPr>
            <w:tcW w:w="817" w:type="dxa"/>
            <w:tcBorders>
              <w:top w:val="single" w:sz="4" w:space="0" w:color="auto"/>
              <w:left w:val="single" w:sz="4" w:space="0" w:color="auto"/>
              <w:bottom w:val="single" w:sz="4" w:space="0" w:color="auto"/>
              <w:right w:val="single" w:sz="4" w:space="0" w:color="auto"/>
            </w:tcBorders>
          </w:tcPr>
          <w:p w14:paraId="3E94C757" w14:textId="77777777" w:rsidR="00492200" w:rsidRPr="00264AE1" w:rsidRDefault="00492200" w:rsidP="00264AE1">
            <w:pPr>
              <w:pStyle w:val="CZWSPP1wTABELIczwsppoziomu1numeracjiwtabeli"/>
            </w:pPr>
            <w:r>
              <w:t xml:space="preserve">4. </w:t>
            </w:r>
          </w:p>
        </w:tc>
        <w:tc>
          <w:tcPr>
            <w:tcW w:w="1701" w:type="dxa"/>
            <w:tcBorders>
              <w:top w:val="single" w:sz="4" w:space="0" w:color="auto"/>
              <w:left w:val="single" w:sz="4" w:space="0" w:color="auto"/>
              <w:bottom w:val="single" w:sz="4" w:space="0" w:color="auto"/>
              <w:right w:val="single" w:sz="4" w:space="0" w:color="auto"/>
            </w:tcBorders>
            <w:hideMark/>
          </w:tcPr>
          <w:p w14:paraId="6CB02D18" w14:textId="77777777" w:rsidR="00492200" w:rsidRPr="00264AE1" w:rsidRDefault="00492200" w:rsidP="00264AE1">
            <w:pPr>
              <w:pStyle w:val="CZWSPP1wTABELIczwsppoziomu1numeracjiwtabeli"/>
            </w:pPr>
            <w:r w:rsidRPr="00264AE1">
              <w:t>Tętno</w:t>
            </w:r>
          </w:p>
        </w:tc>
        <w:tc>
          <w:tcPr>
            <w:tcW w:w="6752" w:type="dxa"/>
            <w:gridSpan w:val="2"/>
            <w:tcBorders>
              <w:top w:val="single" w:sz="4" w:space="0" w:color="auto"/>
              <w:left w:val="single" w:sz="4" w:space="0" w:color="auto"/>
              <w:bottom w:val="single" w:sz="4" w:space="0" w:color="auto"/>
              <w:right w:val="single" w:sz="4" w:space="0" w:color="auto"/>
            </w:tcBorders>
            <w:hideMark/>
          </w:tcPr>
          <w:p w14:paraId="3DBEDF6A" w14:textId="77777777" w:rsidR="00492200" w:rsidRPr="00264AE1" w:rsidRDefault="00492200" w:rsidP="00031813">
            <w:pPr>
              <w:pStyle w:val="CZWSPP1wTABELIczwsppoziomu1numeracjiwtabeli"/>
            </w:pPr>
            <w:r w:rsidRPr="00264AE1">
              <w:t>Należy mierzyć przez co najmniej 15 sekund, tętno miarowe, o częstości od 50 do 100 uderzeń na minutę; niższe wartości tętna są dopuszczalne u osób wytrenowanych, z dobrą tolerancją wysiłku</w:t>
            </w:r>
            <w:r>
              <w:t>.</w:t>
            </w:r>
          </w:p>
        </w:tc>
      </w:tr>
    </w:tbl>
    <w:p w14:paraId="7E7F902C" w14:textId="77777777" w:rsidR="00264AE1" w:rsidRPr="00264AE1" w:rsidRDefault="00264AE1" w:rsidP="00264AE1"/>
    <w:p w14:paraId="7ECAF31F" w14:textId="77777777" w:rsidR="00264AE1" w:rsidRPr="00264AE1" w:rsidRDefault="00264AE1" w:rsidP="00264AE1">
      <w:pPr>
        <w:pStyle w:val="NIEARTTEKSTtekstnieartykuowanynppodstprawnarozplubpreambua"/>
      </w:pPr>
      <w:r w:rsidRPr="00264AE1">
        <w:t>1.2 Stężenie hemoglobiny we krwi 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1523"/>
        <w:gridCol w:w="1102"/>
        <w:gridCol w:w="1389"/>
        <w:gridCol w:w="4486"/>
      </w:tblGrid>
      <w:tr w:rsidR="00866E67" w14:paraId="1EB4BBDB" w14:textId="77777777" w:rsidTr="001D2564">
        <w:tc>
          <w:tcPr>
            <w:tcW w:w="770" w:type="dxa"/>
            <w:tcBorders>
              <w:top w:val="single" w:sz="4" w:space="0" w:color="auto"/>
              <w:left w:val="single" w:sz="4" w:space="0" w:color="auto"/>
              <w:bottom w:val="single" w:sz="4" w:space="0" w:color="auto"/>
              <w:right w:val="single" w:sz="4" w:space="0" w:color="auto"/>
            </w:tcBorders>
          </w:tcPr>
          <w:p w14:paraId="4ADDF84D" w14:textId="77777777" w:rsidR="00866E67" w:rsidRPr="00C345F8" w:rsidRDefault="00866E67" w:rsidP="00C345F8">
            <w:pPr>
              <w:pStyle w:val="TEKSTwTABELIWYRODKOWANYtekstwyrodkowanywpoziomie"/>
              <w:rPr>
                <w:rStyle w:val="Ppogrubienie"/>
              </w:rPr>
            </w:pPr>
            <w:r>
              <w:rPr>
                <w:rStyle w:val="Ppogrubienie"/>
              </w:rPr>
              <w:t xml:space="preserve">Lp. </w:t>
            </w:r>
          </w:p>
        </w:tc>
        <w:tc>
          <w:tcPr>
            <w:tcW w:w="1323" w:type="dxa"/>
            <w:tcBorders>
              <w:top w:val="single" w:sz="4" w:space="0" w:color="auto"/>
              <w:left w:val="single" w:sz="4" w:space="0" w:color="auto"/>
              <w:bottom w:val="single" w:sz="4" w:space="0" w:color="auto"/>
              <w:right w:val="single" w:sz="4" w:space="0" w:color="auto"/>
            </w:tcBorders>
            <w:hideMark/>
          </w:tcPr>
          <w:p w14:paraId="408B8E8B" w14:textId="77777777" w:rsidR="00866E67" w:rsidRPr="00C345F8" w:rsidRDefault="00866E67" w:rsidP="00C345F8">
            <w:pPr>
              <w:pStyle w:val="TEKSTwTABELIWYRODKOWANYtekstwyrodkowanywpoziomie"/>
              <w:rPr>
                <w:rStyle w:val="Ppogrubienie"/>
              </w:rPr>
            </w:pPr>
            <w:r w:rsidRPr="00C345F8">
              <w:rPr>
                <w:rStyle w:val="Ppogrubienie"/>
              </w:rPr>
              <w:t>Kryterium</w:t>
            </w:r>
          </w:p>
        </w:tc>
        <w:tc>
          <w:tcPr>
            <w:tcW w:w="0" w:type="auto"/>
            <w:gridSpan w:val="3"/>
            <w:tcBorders>
              <w:top w:val="single" w:sz="4" w:space="0" w:color="auto"/>
              <w:left w:val="single" w:sz="4" w:space="0" w:color="auto"/>
              <w:bottom w:val="single" w:sz="4" w:space="0" w:color="auto"/>
              <w:right w:val="single" w:sz="4" w:space="0" w:color="auto"/>
            </w:tcBorders>
            <w:hideMark/>
          </w:tcPr>
          <w:p w14:paraId="44E84BE7" w14:textId="77777777" w:rsidR="00866E67" w:rsidRPr="00C345F8" w:rsidRDefault="00866E67" w:rsidP="00C345F8">
            <w:pPr>
              <w:pStyle w:val="TEKSTwTABELIWYRODKOWANYtekstwyrodkowanywpoziomie"/>
              <w:rPr>
                <w:rStyle w:val="Ppogrubienie"/>
              </w:rPr>
            </w:pPr>
            <w:r w:rsidRPr="00C345F8">
              <w:rPr>
                <w:rStyle w:val="Ppogrubienie"/>
              </w:rPr>
              <w:t>Szczegółowy opis kryterium oraz warunki pobierania krwi od kandydata na dawcę krwi albo dawcy krwi</w:t>
            </w:r>
          </w:p>
        </w:tc>
      </w:tr>
      <w:tr w:rsidR="00866E67" w14:paraId="38046EAF" w14:textId="77777777" w:rsidTr="001D2564">
        <w:tc>
          <w:tcPr>
            <w:tcW w:w="0" w:type="auto"/>
            <w:tcBorders>
              <w:top w:val="single" w:sz="4" w:space="0" w:color="auto"/>
              <w:left w:val="single" w:sz="4" w:space="0" w:color="auto"/>
              <w:bottom w:val="single" w:sz="4" w:space="0" w:color="auto"/>
              <w:right w:val="single" w:sz="4" w:space="0" w:color="auto"/>
            </w:tcBorders>
          </w:tcPr>
          <w:p w14:paraId="1697795B" w14:textId="77777777" w:rsidR="00866E67" w:rsidRPr="00C345F8" w:rsidRDefault="00866E67" w:rsidP="00C345F8">
            <w:pPr>
              <w:pStyle w:val="P1wTABELIpoziom1numeracjiwtabeli"/>
            </w:pPr>
            <w:r>
              <w:lastRenderedPageBreak/>
              <w:t xml:space="preserve">1. </w:t>
            </w:r>
          </w:p>
        </w:tc>
        <w:tc>
          <w:tcPr>
            <w:tcW w:w="0" w:type="auto"/>
            <w:vMerge w:val="restart"/>
            <w:tcBorders>
              <w:top w:val="single" w:sz="4" w:space="0" w:color="auto"/>
              <w:left w:val="single" w:sz="4" w:space="0" w:color="auto"/>
              <w:bottom w:val="single" w:sz="4" w:space="0" w:color="auto"/>
              <w:right w:val="single" w:sz="4" w:space="0" w:color="auto"/>
            </w:tcBorders>
            <w:hideMark/>
          </w:tcPr>
          <w:p w14:paraId="4C1765C2" w14:textId="77777777" w:rsidR="00866E67" w:rsidRPr="00C345F8" w:rsidRDefault="00866E67" w:rsidP="00C345F8">
            <w:pPr>
              <w:pStyle w:val="P1wTABELIpoziom1numeracjiwtabeli"/>
            </w:pPr>
            <w:r w:rsidRPr="00C345F8">
              <w:t>Hemoglobina</w:t>
            </w:r>
          </w:p>
        </w:tc>
        <w:tc>
          <w:tcPr>
            <w:tcW w:w="0" w:type="auto"/>
            <w:tcBorders>
              <w:top w:val="single" w:sz="4" w:space="0" w:color="auto"/>
              <w:left w:val="single" w:sz="4" w:space="0" w:color="auto"/>
              <w:bottom w:val="single" w:sz="4" w:space="0" w:color="auto"/>
              <w:right w:val="single" w:sz="4" w:space="0" w:color="auto"/>
            </w:tcBorders>
            <w:hideMark/>
          </w:tcPr>
          <w:p w14:paraId="38A7AB2E" w14:textId="77777777" w:rsidR="00866E67" w:rsidRPr="00C345F8" w:rsidRDefault="00866E67" w:rsidP="00C345F8">
            <w:pPr>
              <w:pStyle w:val="P1wTABELIpoziom1numeracjiwtabeli"/>
            </w:pPr>
            <w:r w:rsidRPr="00C345F8">
              <w:t>Kobiety</w:t>
            </w:r>
          </w:p>
          <w:p w14:paraId="135EC62D" w14:textId="77777777" w:rsidR="00866E67" w:rsidRPr="00C345F8" w:rsidRDefault="00866E67" w:rsidP="00C345F8">
            <w:pPr>
              <w:pStyle w:val="P1wTABELIpoziom1numeracjiwtabeli"/>
            </w:pPr>
            <w:r w:rsidRPr="00C345F8">
              <w:sym w:font="Symbol" w:char="F0B3"/>
            </w:r>
            <w:r w:rsidRPr="00C345F8">
              <w:t>125 g/l</w:t>
            </w:r>
          </w:p>
        </w:tc>
        <w:tc>
          <w:tcPr>
            <w:tcW w:w="0" w:type="auto"/>
            <w:tcBorders>
              <w:top w:val="single" w:sz="4" w:space="0" w:color="auto"/>
              <w:left w:val="single" w:sz="4" w:space="0" w:color="auto"/>
              <w:bottom w:val="single" w:sz="4" w:space="0" w:color="auto"/>
              <w:right w:val="single" w:sz="4" w:space="0" w:color="auto"/>
            </w:tcBorders>
            <w:hideMark/>
          </w:tcPr>
          <w:p w14:paraId="35E5643F" w14:textId="77777777" w:rsidR="00866E67" w:rsidRPr="00C345F8" w:rsidRDefault="00866E67" w:rsidP="00C345F8">
            <w:pPr>
              <w:pStyle w:val="P1wTABELIpoziom1numeracjiwtabeli"/>
            </w:pPr>
            <w:r w:rsidRPr="00C345F8">
              <w:t>Mężczyźni</w:t>
            </w:r>
          </w:p>
          <w:p w14:paraId="3C438BB2" w14:textId="77777777" w:rsidR="00866E67" w:rsidRPr="00C345F8" w:rsidRDefault="00866E67" w:rsidP="00C345F8">
            <w:pPr>
              <w:pStyle w:val="P1wTABELIpoziom1numeracjiwtabeli"/>
            </w:pPr>
            <w:r w:rsidRPr="00C345F8">
              <w:sym w:font="Symbol" w:char="F0B3"/>
            </w:r>
            <w:r w:rsidRPr="00C345F8">
              <w:t>135 g/l</w:t>
            </w:r>
          </w:p>
        </w:tc>
        <w:tc>
          <w:tcPr>
            <w:tcW w:w="0" w:type="auto"/>
            <w:tcBorders>
              <w:top w:val="single" w:sz="4" w:space="0" w:color="auto"/>
              <w:left w:val="single" w:sz="4" w:space="0" w:color="auto"/>
              <w:bottom w:val="single" w:sz="4" w:space="0" w:color="auto"/>
              <w:right w:val="single" w:sz="4" w:space="0" w:color="auto"/>
            </w:tcBorders>
            <w:hideMark/>
          </w:tcPr>
          <w:p w14:paraId="0652F818" w14:textId="77777777" w:rsidR="00866E67" w:rsidRPr="00C345F8" w:rsidRDefault="00866E67" w:rsidP="00450989">
            <w:pPr>
              <w:pStyle w:val="CZWSPP1wTABELIczwsppoziomu1numeracjiwtabeli"/>
            </w:pPr>
            <w:r w:rsidRPr="00C345F8">
              <w:t>Odnosi się do d</w:t>
            </w:r>
            <w:r>
              <w:t xml:space="preserve">awców krwi pełnej allogenicznej </w:t>
            </w:r>
            <w:r w:rsidRPr="00C345F8">
              <w:t>lub jej składników</w:t>
            </w:r>
            <w:r w:rsidR="00DA6805">
              <w:t>.</w:t>
            </w:r>
          </w:p>
        </w:tc>
      </w:tr>
      <w:tr w:rsidR="00866E67" w14:paraId="56EA0632" w14:textId="77777777" w:rsidTr="001D2564">
        <w:tc>
          <w:tcPr>
            <w:tcW w:w="0" w:type="auto"/>
            <w:tcBorders>
              <w:top w:val="single" w:sz="4" w:space="0" w:color="auto"/>
              <w:left w:val="single" w:sz="4" w:space="0" w:color="auto"/>
              <w:bottom w:val="single" w:sz="4" w:space="0" w:color="auto"/>
              <w:right w:val="single" w:sz="4" w:space="0" w:color="auto"/>
            </w:tcBorders>
          </w:tcPr>
          <w:p w14:paraId="1D1711BC" w14:textId="77777777" w:rsidR="00866E67" w:rsidRPr="00C345F8" w:rsidRDefault="00866E67" w:rsidP="00C345F8">
            <w:pPr>
              <w:pStyle w:val="P1wTABELIpoziom1numeracjiwtabeli"/>
            </w:pPr>
            <w:r>
              <w:t xml:space="preserve">2.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100AD4" w14:textId="77777777" w:rsidR="00866E67" w:rsidRPr="00C345F8" w:rsidRDefault="00866E67" w:rsidP="00C345F8">
            <w:pPr>
              <w:pStyle w:val="P1wTABELIpoziom1numeracjiwtabeli"/>
            </w:pPr>
          </w:p>
        </w:tc>
        <w:tc>
          <w:tcPr>
            <w:tcW w:w="0" w:type="auto"/>
            <w:tcBorders>
              <w:top w:val="single" w:sz="4" w:space="0" w:color="auto"/>
              <w:left w:val="single" w:sz="4" w:space="0" w:color="auto"/>
              <w:bottom w:val="single" w:sz="4" w:space="0" w:color="auto"/>
              <w:right w:val="single" w:sz="4" w:space="0" w:color="auto"/>
            </w:tcBorders>
            <w:hideMark/>
          </w:tcPr>
          <w:p w14:paraId="177C1CF8" w14:textId="77777777" w:rsidR="00866E67" w:rsidRPr="00C345F8" w:rsidRDefault="00866E67" w:rsidP="00C345F8">
            <w:pPr>
              <w:pStyle w:val="P1wTABELIpoziom1numeracjiwtabeli"/>
            </w:pPr>
            <w:r w:rsidRPr="00C345F8">
              <w:sym w:font="Symbol" w:char="F0B3"/>
            </w:r>
            <w:r w:rsidRPr="00C345F8">
              <w:t>140 g/l</w:t>
            </w:r>
          </w:p>
        </w:tc>
        <w:tc>
          <w:tcPr>
            <w:tcW w:w="0" w:type="auto"/>
            <w:gridSpan w:val="2"/>
            <w:tcBorders>
              <w:top w:val="single" w:sz="4" w:space="0" w:color="auto"/>
              <w:left w:val="single" w:sz="4" w:space="0" w:color="auto"/>
              <w:bottom w:val="single" w:sz="4" w:space="0" w:color="auto"/>
              <w:right w:val="single" w:sz="4" w:space="0" w:color="auto"/>
            </w:tcBorders>
            <w:hideMark/>
          </w:tcPr>
          <w:p w14:paraId="0F70012E" w14:textId="77777777" w:rsidR="00866E67" w:rsidRPr="00C345F8" w:rsidRDefault="00866E67" w:rsidP="00450989">
            <w:pPr>
              <w:pStyle w:val="CZWSPP1wTABELIczwsppoziomu1numeracjiwtabeli"/>
            </w:pPr>
            <w:r w:rsidRPr="00C345F8">
              <w:t xml:space="preserve">Odnosi się do dawców oddających 2 jednostki </w:t>
            </w:r>
            <w:proofErr w:type="spellStart"/>
            <w:r w:rsidRPr="00C345F8">
              <w:t>KKCz</w:t>
            </w:r>
            <w:proofErr w:type="spellEnd"/>
            <w:r w:rsidRPr="00C345F8">
              <w:t xml:space="preserve"> metodą </w:t>
            </w:r>
            <w:proofErr w:type="spellStart"/>
            <w:r w:rsidRPr="00C345F8">
              <w:t>erytroaferezy</w:t>
            </w:r>
            <w:proofErr w:type="spellEnd"/>
            <w:r w:rsidR="00DA6805">
              <w:t>.</w:t>
            </w:r>
          </w:p>
        </w:tc>
      </w:tr>
    </w:tbl>
    <w:p w14:paraId="6AFC86C0" w14:textId="77777777" w:rsidR="00264AE1" w:rsidRPr="00264AE1" w:rsidRDefault="00264AE1" w:rsidP="00264AE1"/>
    <w:p w14:paraId="74CA64BD" w14:textId="77777777" w:rsidR="00264AE1" w:rsidRDefault="00264AE1" w:rsidP="00C345F8">
      <w:pPr>
        <w:pStyle w:val="NIEARTTEKSTtekstnieartykuowanynppodstprawnarozplubpreambua"/>
      </w:pPr>
      <w:r w:rsidRPr="00264AE1">
        <w:t>1.3 Stężenie białka w surowicy krwi 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969"/>
        <w:gridCol w:w="2261"/>
        <w:gridCol w:w="4441"/>
        <w:gridCol w:w="29"/>
      </w:tblGrid>
      <w:tr w:rsidR="00F84577" w14:paraId="737FC6E2" w14:textId="77777777" w:rsidTr="006062C8">
        <w:trPr>
          <w:gridAfter w:val="1"/>
          <w:wAfter w:w="33" w:type="dxa"/>
        </w:trPr>
        <w:tc>
          <w:tcPr>
            <w:tcW w:w="570" w:type="dxa"/>
            <w:tcBorders>
              <w:top w:val="single" w:sz="4" w:space="0" w:color="auto"/>
              <w:left w:val="single" w:sz="4" w:space="0" w:color="auto"/>
              <w:bottom w:val="single" w:sz="4" w:space="0" w:color="auto"/>
              <w:right w:val="single" w:sz="4" w:space="0" w:color="auto"/>
            </w:tcBorders>
          </w:tcPr>
          <w:p w14:paraId="1387A392" w14:textId="77777777" w:rsidR="00F84577" w:rsidRPr="00F84577" w:rsidRDefault="00F84577" w:rsidP="00F84577">
            <w:pPr>
              <w:pStyle w:val="TEKSTwTABELIWYRODKOWANYtekstwyrodkowanywpoziomie"/>
              <w:rPr>
                <w:rStyle w:val="Ppogrubienie"/>
              </w:rPr>
            </w:pPr>
            <w:r>
              <w:rPr>
                <w:rStyle w:val="Ppogrubienie"/>
              </w:rPr>
              <w:t xml:space="preserve">Lp. </w:t>
            </w:r>
          </w:p>
        </w:tc>
        <w:tc>
          <w:tcPr>
            <w:tcW w:w="2090" w:type="dxa"/>
            <w:tcBorders>
              <w:top w:val="single" w:sz="4" w:space="0" w:color="auto"/>
              <w:left w:val="single" w:sz="4" w:space="0" w:color="auto"/>
              <w:bottom w:val="single" w:sz="4" w:space="0" w:color="auto"/>
              <w:right w:val="single" w:sz="4" w:space="0" w:color="auto"/>
            </w:tcBorders>
          </w:tcPr>
          <w:p w14:paraId="559AC3B9" w14:textId="77777777" w:rsidR="00F84577" w:rsidRPr="00C345F8" w:rsidRDefault="00F84577" w:rsidP="00F84577">
            <w:pPr>
              <w:pStyle w:val="TEKSTwTABELIWYRODKOWANYtekstwyrodkowanywpoziomie"/>
              <w:rPr>
                <w:rStyle w:val="Ppogrubienie"/>
              </w:rPr>
            </w:pPr>
            <w:r w:rsidRPr="00C345F8">
              <w:rPr>
                <w:rStyle w:val="Ppogrubienie"/>
              </w:rPr>
              <w:t>Kryterium</w:t>
            </w:r>
          </w:p>
        </w:tc>
        <w:tc>
          <w:tcPr>
            <w:tcW w:w="7414" w:type="dxa"/>
            <w:gridSpan w:val="2"/>
            <w:tcBorders>
              <w:top w:val="single" w:sz="4" w:space="0" w:color="auto"/>
              <w:left w:val="single" w:sz="4" w:space="0" w:color="auto"/>
              <w:bottom w:val="single" w:sz="4" w:space="0" w:color="auto"/>
              <w:right w:val="single" w:sz="4" w:space="0" w:color="auto"/>
            </w:tcBorders>
          </w:tcPr>
          <w:p w14:paraId="2D536614" w14:textId="77777777" w:rsidR="00F84577" w:rsidRPr="00F84577" w:rsidRDefault="00F84577" w:rsidP="00F84577">
            <w:pPr>
              <w:pStyle w:val="TEKSTwTABELIWYRODKOWANYtekstwyrodkowanywpoziomie"/>
              <w:rPr>
                <w:rStyle w:val="Ppogrubienie"/>
              </w:rPr>
            </w:pPr>
            <w:r w:rsidRPr="00E4710D">
              <w:rPr>
                <w:rStyle w:val="Ppogrubienie"/>
              </w:rPr>
              <w:t>Szczegó</w:t>
            </w:r>
            <w:r w:rsidRPr="00F84577">
              <w:rPr>
                <w:rStyle w:val="Ppogrubienie"/>
              </w:rPr>
              <w:t>łowy opis kryterium oraz warunki pobierania krwi od kandydata na dawcę krwi albo dawcy krwi</w:t>
            </w:r>
          </w:p>
        </w:tc>
      </w:tr>
      <w:tr w:rsidR="00F84577" w14:paraId="0C125B3C" w14:textId="77777777" w:rsidTr="006062C8">
        <w:tc>
          <w:tcPr>
            <w:tcW w:w="570" w:type="dxa"/>
            <w:tcBorders>
              <w:top w:val="single" w:sz="4" w:space="0" w:color="auto"/>
              <w:left w:val="single" w:sz="4" w:space="0" w:color="auto"/>
              <w:bottom w:val="single" w:sz="4" w:space="0" w:color="auto"/>
              <w:right w:val="single" w:sz="4" w:space="0" w:color="auto"/>
            </w:tcBorders>
          </w:tcPr>
          <w:p w14:paraId="07FDC018" w14:textId="77777777" w:rsidR="00F84577" w:rsidRPr="00F84577" w:rsidRDefault="00F84577" w:rsidP="00F84577">
            <w:pPr>
              <w:pStyle w:val="CZWSPP1wTABELIczwsppoziomu1numeracjiwtabeli"/>
            </w:pPr>
            <w:r>
              <w:t xml:space="preserve">1. </w:t>
            </w:r>
          </w:p>
        </w:tc>
        <w:tc>
          <w:tcPr>
            <w:tcW w:w="2090" w:type="dxa"/>
            <w:tcBorders>
              <w:top w:val="single" w:sz="4" w:space="0" w:color="auto"/>
              <w:left w:val="single" w:sz="4" w:space="0" w:color="auto"/>
              <w:bottom w:val="single" w:sz="4" w:space="0" w:color="auto"/>
              <w:right w:val="single" w:sz="4" w:space="0" w:color="auto"/>
            </w:tcBorders>
          </w:tcPr>
          <w:p w14:paraId="2CBF1317" w14:textId="77777777" w:rsidR="00F84577" w:rsidRPr="00F84577" w:rsidRDefault="00F84577" w:rsidP="00F84577">
            <w:pPr>
              <w:pStyle w:val="CZWSPP1wTABELIczwsppoziomu1numeracjiwtabeli"/>
            </w:pPr>
            <w:r>
              <w:t>Bia</w:t>
            </w:r>
            <w:r w:rsidRPr="00F84577">
              <w:t>łko całkowite</w:t>
            </w:r>
          </w:p>
        </w:tc>
        <w:tc>
          <w:tcPr>
            <w:tcW w:w="2410" w:type="dxa"/>
            <w:tcBorders>
              <w:top w:val="single" w:sz="4" w:space="0" w:color="auto"/>
              <w:left w:val="single" w:sz="4" w:space="0" w:color="auto"/>
              <w:bottom w:val="single" w:sz="4" w:space="0" w:color="auto"/>
              <w:right w:val="single" w:sz="4" w:space="0" w:color="auto"/>
            </w:tcBorders>
          </w:tcPr>
          <w:p w14:paraId="394C1FF0" w14:textId="77777777" w:rsidR="00F84577" w:rsidRPr="00F84577" w:rsidRDefault="00F84577" w:rsidP="00F84577">
            <w:pPr>
              <w:pStyle w:val="CZWSPP1wTABELIczwsppoziomu1numeracjiwtabeli"/>
            </w:pPr>
            <w:r w:rsidRPr="00F84577">
              <w:t>60−80 g/l</w:t>
            </w:r>
          </w:p>
        </w:tc>
        <w:tc>
          <w:tcPr>
            <w:tcW w:w="5037" w:type="dxa"/>
            <w:gridSpan w:val="2"/>
            <w:vMerge w:val="restart"/>
            <w:tcBorders>
              <w:top w:val="single" w:sz="4" w:space="0" w:color="auto"/>
              <w:left w:val="single" w:sz="4" w:space="0" w:color="auto"/>
              <w:right w:val="single" w:sz="4" w:space="0" w:color="auto"/>
            </w:tcBorders>
            <w:vAlign w:val="center"/>
          </w:tcPr>
          <w:p w14:paraId="38721813" w14:textId="77777777" w:rsidR="00F84577" w:rsidRPr="00F84577" w:rsidRDefault="00F84577" w:rsidP="00F84577">
            <w:pPr>
              <w:pStyle w:val="CZWSPP1wTABELIczwsppoziomu1numeracjiwtabeli"/>
            </w:pPr>
            <w:r w:rsidRPr="00506F13">
              <w:t>W przypadku pobrania osocza metod</w:t>
            </w:r>
            <w:r w:rsidRPr="00F84577">
              <w:t>ą aferezy badanie przeprowadza się co najmniej raz w roku</w:t>
            </w:r>
            <w:r w:rsidR="00DA6805">
              <w:t>.</w:t>
            </w:r>
          </w:p>
        </w:tc>
      </w:tr>
      <w:tr w:rsidR="00F84577" w14:paraId="51403545" w14:textId="77777777" w:rsidTr="006062C8">
        <w:tc>
          <w:tcPr>
            <w:tcW w:w="570" w:type="dxa"/>
            <w:tcBorders>
              <w:top w:val="single" w:sz="4" w:space="0" w:color="auto"/>
              <w:left w:val="single" w:sz="4" w:space="0" w:color="auto"/>
              <w:bottom w:val="single" w:sz="4" w:space="0" w:color="auto"/>
              <w:right w:val="single" w:sz="4" w:space="0" w:color="auto"/>
            </w:tcBorders>
          </w:tcPr>
          <w:p w14:paraId="3742C777" w14:textId="77777777" w:rsidR="00F84577" w:rsidRDefault="00F84577" w:rsidP="00F84577">
            <w:pPr>
              <w:pStyle w:val="CZWSPP1wTABELIczwsppoziomu1numeracjiwtabeli"/>
            </w:pPr>
            <w:r>
              <w:t>2</w:t>
            </w:r>
          </w:p>
        </w:tc>
        <w:tc>
          <w:tcPr>
            <w:tcW w:w="2090" w:type="dxa"/>
            <w:tcBorders>
              <w:top w:val="single" w:sz="4" w:space="0" w:color="auto"/>
              <w:left w:val="single" w:sz="4" w:space="0" w:color="auto"/>
              <w:bottom w:val="single" w:sz="4" w:space="0" w:color="auto"/>
              <w:right w:val="single" w:sz="4" w:space="0" w:color="auto"/>
            </w:tcBorders>
          </w:tcPr>
          <w:p w14:paraId="17EB02B0" w14:textId="77777777" w:rsidR="00F84577" w:rsidRPr="00F84577" w:rsidRDefault="00F84577" w:rsidP="00F84577">
            <w:pPr>
              <w:pStyle w:val="CZWSPP1wTABELIczwsppoziomu1numeracjiwtabeli"/>
            </w:pPr>
            <w:r w:rsidRPr="00506F13">
              <w:t>Sk</w:t>
            </w:r>
            <w:r w:rsidRPr="00F84577">
              <w:t>ład procentowy białek</w:t>
            </w:r>
          </w:p>
        </w:tc>
        <w:tc>
          <w:tcPr>
            <w:tcW w:w="2410" w:type="dxa"/>
            <w:tcBorders>
              <w:top w:val="single" w:sz="4" w:space="0" w:color="auto"/>
              <w:left w:val="single" w:sz="4" w:space="0" w:color="auto"/>
              <w:bottom w:val="single" w:sz="4" w:space="0" w:color="auto"/>
              <w:right w:val="single" w:sz="4" w:space="0" w:color="auto"/>
            </w:tcBorders>
          </w:tcPr>
          <w:p w14:paraId="2DD2E757" w14:textId="77777777" w:rsidR="00F84577" w:rsidRPr="00F84577" w:rsidRDefault="00F84577" w:rsidP="00F84577">
            <w:pPr>
              <w:pStyle w:val="CZWSPP1wTABELIczwsppoziomu1numeracjiwtabeli"/>
            </w:pPr>
            <w:r w:rsidRPr="00E4710D">
              <w:t>Normy zale</w:t>
            </w:r>
            <w:r w:rsidRPr="00F84577">
              <w:t>żą od zastosowanej metody badania</w:t>
            </w:r>
          </w:p>
        </w:tc>
        <w:tc>
          <w:tcPr>
            <w:tcW w:w="5037" w:type="dxa"/>
            <w:gridSpan w:val="2"/>
            <w:vMerge/>
            <w:tcBorders>
              <w:left w:val="single" w:sz="4" w:space="0" w:color="auto"/>
              <w:bottom w:val="single" w:sz="4" w:space="0" w:color="auto"/>
              <w:right w:val="single" w:sz="4" w:space="0" w:color="auto"/>
            </w:tcBorders>
          </w:tcPr>
          <w:p w14:paraId="0F01C070" w14:textId="77777777" w:rsidR="00F84577" w:rsidRPr="00264AE1" w:rsidRDefault="00F84577" w:rsidP="006062C8">
            <w:pPr>
              <w:pStyle w:val="CZWSPP1wTABELIczwsppoziomu1numeracjiwtabeli"/>
            </w:pPr>
          </w:p>
        </w:tc>
      </w:tr>
    </w:tbl>
    <w:p w14:paraId="274874D4" w14:textId="77777777" w:rsidR="00264AE1" w:rsidRPr="00264AE1" w:rsidRDefault="00264AE1" w:rsidP="00264AE1"/>
    <w:p w14:paraId="21B6BDE9" w14:textId="77777777" w:rsidR="00264AE1" w:rsidRPr="00264AE1" w:rsidRDefault="00264AE1" w:rsidP="00450989">
      <w:pPr>
        <w:pStyle w:val="NIEARTTEKSTtekstnieartykuowanynppodstprawnarozplubpreambua"/>
      </w:pPr>
      <w:r w:rsidRPr="00264AE1">
        <w:t>1.4 Liczba krwinek płytkowych we krwi 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674"/>
        <w:gridCol w:w="2285"/>
        <w:gridCol w:w="4741"/>
      </w:tblGrid>
      <w:tr w:rsidR="00283385" w14:paraId="4A5ADA15" w14:textId="77777777" w:rsidTr="00283385">
        <w:tc>
          <w:tcPr>
            <w:tcW w:w="0" w:type="auto"/>
            <w:tcBorders>
              <w:top w:val="single" w:sz="4" w:space="0" w:color="auto"/>
              <w:left w:val="single" w:sz="4" w:space="0" w:color="auto"/>
              <w:bottom w:val="single" w:sz="4" w:space="0" w:color="auto"/>
              <w:right w:val="single" w:sz="4" w:space="0" w:color="auto"/>
            </w:tcBorders>
          </w:tcPr>
          <w:p w14:paraId="7AA065C3" w14:textId="77777777" w:rsidR="00283385" w:rsidRPr="00450989" w:rsidRDefault="00283385" w:rsidP="00450989">
            <w:pPr>
              <w:pStyle w:val="TEKSTwTABELIWYRODKOWANYtekstwyrodkowanywpoziomie"/>
              <w:rPr>
                <w:rStyle w:val="Ppogrubienie"/>
              </w:rPr>
            </w:pPr>
            <w:r>
              <w:rPr>
                <w:rStyle w:val="Ppogrubienie"/>
              </w:rPr>
              <w:t xml:space="preserve">Lp. </w:t>
            </w:r>
          </w:p>
        </w:tc>
        <w:tc>
          <w:tcPr>
            <w:tcW w:w="0" w:type="auto"/>
            <w:tcBorders>
              <w:top w:val="single" w:sz="4" w:space="0" w:color="auto"/>
              <w:left w:val="single" w:sz="4" w:space="0" w:color="auto"/>
              <w:bottom w:val="single" w:sz="4" w:space="0" w:color="auto"/>
              <w:right w:val="single" w:sz="4" w:space="0" w:color="auto"/>
            </w:tcBorders>
            <w:hideMark/>
          </w:tcPr>
          <w:p w14:paraId="766CED09" w14:textId="77777777" w:rsidR="00283385" w:rsidRPr="00450989" w:rsidRDefault="00283385" w:rsidP="00450989">
            <w:pPr>
              <w:pStyle w:val="TEKSTwTABELIWYRODKOWANYtekstwyrodkowanywpoziomie"/>
              <w:rPr>
                <w:rStyle w:val="Ppogrubienie"/>
              </w:rPr>
            </w:pPr>
            <w:r w:rsidRPr="00450989">
              <w:rPr>
                <w:rStyle w:val="Ppogrubienie"/>
              </w:rPr>
              <w:t>Kryterium</w:t>
            </w:r>
          </w:p>
        </w:tc>
        <w:tc>
          <w:tcPr>
            <w:tcW w:w="0" w:type="auto"/>
            <w:gridSpan w:val="2"/>
            <w:tcBorders>
              <w:top w:val="single" w:sz="4" w:space="0" w:color="auto"/>
              <w:left w:val="single" w:sz="4" w:space="0" w:color="auto"/>
              <w:bottom w:val="single" w:sz="4" w:space="0" w:color="auto"/>
              <w:right w:val="single" w:sz="4" w:space="0" w:color="auto"/>
            </w:tcBorders>
            <w:hideMark/>
          </w:tcPr>
          <w:p w14:paraId="4BCE7492" w14:textId="77777777" w:rsidR="00283385" w:rsidRPr="00450989" w:rsidRDefault="00283385" w:rsidP="00450989">
            <w:pPr>
              <w:pStyle w:val="TEKSTwTABELIWYRODKOWANYtekstwyrodkowanywpoziomie"/>
              <w:rPr>
                <w:rStyle w:val="Ppogrubienie"/>
              </w:rPr>
            </w:pPr>
            <w:r w:rsidRPr="00450989">
              <w:rPr>
                <w:rStyle w:val="Ppogrubienie"/>
              </w:rPr>
              <w:t>Szczegółowy opis kryterium oraz warunki pobierania krwi od kandydata na dawcę krwi albo dawcy krwi</w:t>
            </w:r>
          </w:p>
        </w:tc>
      </w:tr>
      <w:tr w:rsidR="00283385" w14:paraId="157E9256" w14:textId="77777777" w:rsidTr="00283385">
        <w:tc>
          <w:tcPr>
            <w:tcW w:w="0" w:type="auto"/>
            <w:tcBorders>
              <w:top w:val="single" w:sz="4" w:space="0" w:color="auto"/>
              <w:left w:val="single" w:sz="4" w:space="0" w:color="auto"/>
              <w:bottom w:val="single" w:sz="4" w:space="0" w:color="auto"/>
              <w:right w:val="single" w:sz="4" w:space="0" w:color="auto"/>
            </w:tcBorders>
          </w:tcPr>
          <w:p w14:paraId="1A6D37B1" w14:textId="77777777" w:rsidR="00283385" w:rsidRPr="00264AE1" w:rsidRDefault="00283385" w:rsidP="00450989">
            <w:pPr>
              <w:pStyle w:val="CZWSPP1wTABELIczwsppoziomu1numeracjiwtabeli"/>
            </w:pPr>
            <w:r>
              <w:t>1 .</w:t>
            </w:r>
          </w:p>
        </w:tc>
        <w:tc>
          <w:tcPr>
            <w:tcW w:w="0" w:type="auto"/>
            <w:tcBorders>
              <w:top w:val="single" w:sz="4" w:space="0" w:color="auto"/>
              <w:left w:val="single" w:sz="4" w:space="0" w:color="auto"/>
              <w:bottom w:val="single" w:sz="4" w:space="0" w:color="auto"/>
              <w:right w:val="single" w:sz="4" w:space="0" w:color="auto"/>
            </w:tcBorders>
            <w:hideMark/>
          </w:tcPr>
          <w:p w14:paraId="6AFE2F87" w14:textId="77777777" w:rsidR="00283385" w:rsidRPr="00264AE1" w:rsidRDefault="00283385" w:rsidP="00450989">
            <w:pPr>
              <w:pStyle w:val="CZWSPP1wTABELIczwsppoziomu1numeracjiwtabeli"/>
            </w:pPr>
            <w:r w:rsidRPr="00264AE1">
              <w:t>Liczba krwinek płytkowych</w:t>
            </w:r>
          </w:p>
        </w:tc>
        <w:tc>
          <w:tcPr>
            <w:tcW w:w="0" w:type="auto"/>
            <w:tcBorders>
              <w:top w:val="single" w:sz="4" w:space="0" w:color="auto"/>
              <w:left w:val="single" w:sz="4" w:space="0" w:color="auto"/>
              <w:bottom w:val="single" w:sz="4" w:space="0" w:color="auto"/>
              <w:right w:val="single" w:sz="4" w:space="0" w:color="auto"/>
            </w:tcBorders>
            <w:hideMark/>
          </w:tcPr>
          <w:p w14:paraId="34725105" w14:textId="77777777" w:rsidR="00283385" w:rsidRPr="00264AE1" w:rsidRDefault="00283385" w:rsidP="00450989">
            <w:pPr>
              <w:pStyle w:val="CZWSPP1wTABELIczwsppoziomu1numeracjiwtabeli"/>
            </w:pPr>
            <w:r w:rsidRPr="00264AE1">
              <w:t>Liczba krwinek płytkowych przynajmniej 150 x 10</w:t>
            </w:r>
            <w:r w:rsidRPr="00450989">
              <w:rPr>
                <w:rStyle w:val="IGindeksgrny"/>
              </w:rPr>
              <w:t>9</w:t>
            </w:r>
            <w:r w:rsidRPr="00264AE1">
              <w:t>/l</w:t>
            </w:r>
          </w:p>
        </w:tc>
        <w:tc>
          <w:tcPr>
            <w:tcW w:w="0" w:type="auto"/>
            <w:tcBorders>
              <w:top w:val="single" w:sz="4" w:space="0" w:color="auto"/>
              <w:left w:val="single" w:sz="4" w:space="0" w:color="auto"/>
              <w:bottom w:val="single" w:sz="4" w:space="0" w:color="auto"/>
              <w:right w:val="single" w:sz="4" w:space="0" w:color="auto"/>
            </w:tcBorders>
            <w:hideMark/>
          </w:tcPr>
          <w:p w14:paraId="209AF3C7" w14:textId="77777777" w:rsidR="00283385" w:rsidRPr="00264AE1" w:rsidRDefault="00283385" w:rsidP="00450989">
            <w:pPr>
              <w:pStyle w:val="CZWSPP1wTABELIczwsppoziomu1numeracjiwtabeli"/>
            </w:pPr>
            <w:r w:rsidRPr="00264AE1">
              <w:t xml:space="preserve">Liczba wymagana w przypadku dawców poddawanych zabiegom </w:t>
            </w:r>
            <w:proofErr w:type="spellStart"/>
            <w:r w:rsidRPr="00264AE1">
              <w:t>trombaferezy</w:t>
            </w:r>
            <w:proofErr w:type="spellEnd"/>
            <w:r w:rsidR="00DA6805">
              <w:t>.</w:t>
            </w:r>
            <w:r w:rsidRPr="00264AE1">
              <w:t xml:space="preserve"> </w:t>
            </w:r>
          </w:p>
          <w:p w14:paraId="7386CD4A" w14:textId="77777777" w:rsidR="00283385" w:rsidRPr="00264AE1" w:rsidRDefault="00283385" w:rsidP="00B33DBF">
            <w:pPr>
              <w:pStyle w:val="CZWSPP1wTABELIczwsppoziomu1numeracjiwtabeli"/>
            </w:pPr>
            <w:r w:rsidRPr="00264AE1">
              <w:t xml:space="preserve">Pobierając metodą </w:t>
            </w:r>
            <w:proofErr w:type="spellStart"/>
            <w:r w:rsidRPr="00264AE1">
              <w:t>trombaferezy</w:t>
            </w:r>
            <w:proofErr w:type="spellEnd"/>
            <w:r w:rsidRPr="00264AE1">
              <w:t xml:space="preserve"> &gt; 5 × 10</w:t>
            </w:r>
            <w:r w:rsidRPr="00450989">
              <w:rPr>
                <w:rStyle w:val="IGindeksgrny"/>
              </w:rPr>
              <w:t>11</w:t>
            </w:r>
            <w:r w:rsidRPr="00264AE1">
              <w:t xml:space="preserve"> krwinek płytkowych zwr</w:t>
            </w:r>
            <w:r>
              <w:t>aca się</w:t>
            </w:r>
            <w:r w:rsidRPr="00264AE1">
              <w:t xml:space="preserve"> szczególną uwagę, by liczba płytek u dawcy po donacji nie obniżyła się po zabiegu &lt; 100 × 10</w:t>
            </w:r>
            <w:r w:rsidRPr="00450989">
              <w:rPr>
                <w:rStyle w:val="IGindeksgrny"/>
              </w:rPr>
              <w:t>9</w:t>
            </w:r>
            <w:r w:rsidRPr="00264AE1">
              <w:t>/l</w:t>
            </w:r>
            <w:r w:rsidR="00DA6805">
              <w:t>.</w:t>
            </w:r>
          </w:p>
        </w:tc>
      </w:tr>
    </w:tbl>
    <w:p w14:paraId="33C0A9DC" w14:textId="77777777" w:rsidR="00264AE1" w:rsidRPr="00264AE1" w:rsidRDefault="00264AE1" w:rsidP="00264AE1"/>
    <w:p w14:paraId="014134BE" w14:textId="77777777" w:rsidR="00264AE1" w:rsidRDefault="00264AE1" w:rsidP="00450989">
      <w:pPr>
        <w:pStyle w:val="NIEARTTEKSTtekstnieartykuowanynppodstprawnarozplubpreambua"/>
      </w:pPr>
      <w:r w:rsidRPr="00264AE1">
        <w:t>1.5 Liczba krwinek białych 4-10 x 10</w:t>
      </w:r>
      <w:r w:rsidRPr="00450989">
        <w:rPr>
          <w:rStyle w:val="IGindeksgrny"/>
        </w:rPr>
        <w:t>9</w:t>
      </w:r>
      <w:r w:rsidRPr="00264AE1">
        <w:t>/l</w:t>
      </w:r>
    </w:p>
    <w:p w14:paraId="3D910C01" w14:textId="77777777" w:rsidR="00450989" w:rsidRPr="00264AE1" w:rsidRDefault="00450989" w:rsidP="00450989">
      <w:pPr>
        <w:pStyle w:val="NIEARTTEKSTtekstnieartykuowanynppodstprawnarozplubpreambua"/>
      </w:pPr>
    </w:p>
    <w:p w14:paraId="008657F0" w14:textId="77777777" w:rsidR="00264AE1" w:rsidRPr="00450989" w:rsidRDefault="00264AE1" w:rsidP="00450989">
      <w:pPr>
        <w:pStyle w:val="NIEARTTEKSTtekstnieartykuowanynppodstprawnarozplubpreambua"/>
        <w:rPr>
          <w:rStyle w:val="Ppogrubienie"/>
        </w:rPr>
      </w:pPr>
      <w:r w:rsidRPr="00450989">
        <w:rPr>
          <w:rStyle w:val="Ppogrubienie"/>
        </w:rPr>
        <w:t>2</w:t>
      </w:r>
      <w:r w:rsidR="00561294">
        <w:rPr>
          <w:rStyle w:val="Ppogrubienie"/>
        </w:rPr>
        <w:t xml:space="preserve">. Kryteria dyskwalifikacji </w:t>
      </w:r>
      <w:r w:rsidR="00866E67">
        <w:rPr>
          <w:rStyle w:val="Ppogrubienie"/>
        </w:rPr>
        <w:t>stosowane</w:t>
      </w:r>
      <w:r w:rsidR="00866E67" w:rsidRPr="00450989">
        <w:rPr>
          <w:rStyle w:val="Ppogrubienie"/>
        </w:rPr>
        <w:t xml:space="preserve"> </w:t>
      </w:r>
      <w:r w:rsidRPr="00450989">
        <w:rPr>
          <w:rStyle w:val="Ppogrubienie"/>
        </w:rPr>
        <w:t>wobec dawców krwi pełnej i jej składników</w:t>
      </w:r>
    </w:p>
    <w:p w14:paraId="3CE83B66" w14:textId="77777777" w:rsidR="00264AE1" w:rsidRPr="00264AE1" w:rsidRDefault="00264AE1" w:rsidP="00450989">
      <w:pPr>
        <w:pStyle w:val="NIEARTTEKSTtekstnieartykuowanynppodstprawnarozplubpreambua"/>
      </w:pPr>
      <w:r w:rsidRPr="00264AE1">
        <w:t>2.1 Kryteria dyskwalifikacji stałej dla dawców krwi allogenicznej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4620"/>
        <w:gridCol w:w="4080"/>
      </w:tblGrid>
      <w:tr w:rsidR="00283385" w14:paraId="10FB6C3B" w14:textId="77777777" w:rsidTr="00283385">
        <w:tc>
          <w:tcPr>
            <w:tcW w:w="534" w:type="dxa"/>
            <w:tcBorders>
              <w:top w:val="single" w:sz="4" w:space="0" w:color="auto"/>
              <w:left w:val="single" w:sz="4" w:space="0" w:color="auto"/>
              <w:bottom w:val="single" w:sz="4" w:space="0" w:color="auto"/>
              <w:right w:val="single" w:sz="4" w:space="0" w:color="auto"/>
            </w:tcBorders>
          </w:tcPr>
          <w:p w14:paraId="343B8E26" w14:textId="77777777" w:rsidR="00283385" w:rsidRDefault="00283385" w:rsidP="00450989">
            <w:pPr>
              <w:pStyle w:val="TEKSTwTABELIWYRODKOWANYtekstwyrodkowanywpoziomie"/>
              <w:rPr>
                <w:rStyle w:val="Ppogrubienie"/>
              </w:rPr>
            </w:pPr>
          </w:p>
          <w:p w14:paraId="6BC921CB" w14:textId="77777777" w:rsidR="00283385" w:rsidRPr="00450989" w:rsidRDefault="00283385" w:rsidP="00450989">
            <w:pPr>
              <w:pStyle w:val="TEKSTwTABELIWYRODKOWANYtekstwyrodkowanywpoziomie"/>
              <w:rPr>
                <w:rStyle w:val="Ppogrubienie"/>
              </w:rPr>
            </w:pPr>
            <w:r>
              <w:rPr>
                <w:rStyle w:val="Ppogrubienie"/>
              </w:rPr>
              <w:t xml:space="preserve">Lp. </w:t>
            </w:r>
          </w:p>
        </w:tc>
        <w:tc>
          <w:tcPr>
            <w:tcW w:w="4639" w:type="dxa"/>
            <w:tcBorders>
              <w:top w:val="single" w:sz="4" w:space="0" w:color="auto"/>
              <w:left w:val="single" w:sz="4" w:space="0" w:color="auto"/>
              <w:bottom w:val="single" w:sz="4" w:space="0" w:color="auto"/>
              <w:right w:val="single" w:sz="4" w:space="0" w:color="auto"/>
            </w:tcBorders>
            <w:hideMark/>
          </w:tcPr>
          <w:p w14:paraId="1E22485B" w14:textId="77777777" w:rsidR="00283385" w:rsidRPr="00450989" w:rsidRDefault="00283385" w:rsidP="00450989">
            <w:pPr>
              <w:pStyle w:val="TEKSTwTABELIWYRODKOWANYtekstwyrodkowanywpoziomie"/>
              <w:rPr>
                <w:rStyle w:val="Ppogrubienie"/>
              </w:rPr>
            </w:pPr>
            <w:r w:rsidRPr="00450989">
              <w:rPr>
                <w:rStyle w:val="Ppogrubienie"/>
              </w:rPr>
              <w:t>Kryterium</w:t>
            </w:r>
          </w:p>
        </w:tc>
        <w:tc>
          <w:tcPr>
            <w:tcW w:w="4097" w:type="dxa"/>
            <w:tcBorders>
              <w:top w:val="single" w:sz="4" w:space="0" w:color="auto"/>
              <w:left w:val="single" w:sz="4" w:space="0" w:color="auto"/>
              <w:bottom w:val="single" w:sz="4" w:space="0" w:color="auto"/>
              <w:right w:val="single" w:sz="4" w:space="0" w:color="auto"/>
            </w:tcBorders>
            <w:hideMark/>
          </w:tcPr>
          <w:p w14:paraId="243E9C35" w14:textId="77777777" w:rsidR="00283385" w:rsidRPr="00450989" w:rsidRDefault="00283385" w:rsidP="00450989">
            <w:pPr>
              <w:pStyle w:val="TEKSTwTABELIWYRODKOWANYtekstwyrodkowanywpoziomie"/>
              <w:rPr>
                <w:rStyle w:val="Ppogrubienie"/>
              </w:rPr>
            </w:pPr>
            <w:r w:rsidRPr="00450989">
              <w:rPr>
                <w:rStyle w:val="Ppogrubienie"/>
              </w:rPr>
              <w:t>Szczegółowy opis kryterium oraz warunki pobierania krwi od kandydata na dawcę krwi albo dawcy krwi</w:t>
            </w:r>
          </w:p>
        </w:tc>
      </w:tr>
      <w:tr w:rsidR="00283385" w14:paraId="187134CA" w14:textId="77777777" w:rsidTr="00283385">
        <w:tc>
          <w:tcPr>
            <w:tcW w:w="534" w:type="dxa"/>
            <w:tcBorders>
              <w:top w:val="single" w:sz="4" w:space="0" w:color="auto"/>
              <w:left w:val="single" w:sz="4" w:space="0" w:color="auto"/>
              <w:bottom w:val="single" w:sz="4" w:space="0" w:color="auto"/>
              <w:right w:val="single" w:sz="4" w:space="0" w:color="auto"/>
            </w:tcBorders>
          </w:tcPr>
          <w:p w14:paraId="1873D825" w14:textId="77777777" w:rsidR="00283385" w:rsidRPr="00264AE1" w:rsidRDefault="00283385" w:rsidP="00450989">
            <w:pPr>
              <w:pStyle w:val="CZWSPP1wTABELIczwsppoziomu1numeracjiwtabeli"/>
            </w:pPr>
            <w:r>
              <w:lastRenderedPageBreak/>
              <w:t xml:space="preserve">1. </w:t>
            </w:r>
          </w:p>
        </w:tc>
        <w:tc>
          <w:tcPr>
            <w:tcW w:w="4639" w:type="dxa"/>
            <w:tcBorders>
              <w:top w:val="single" w:sz="4" w:space="0" w:color="auto"/>
              <w:left w:val="single" w:sz="4" w:space="0" w:color="auto"/>
              <w:bottom w:val="single" w:sz="4" w:space="0" w:color="auto"/>
              <w:right w:val="single" w:sz="4" w:space="0" w:color="auto"/>
            </w:tcBorders>
            <w:hideMark/>
          </w:tcPr>
          <w:p w14:paraId="2F37CC93" w14:textId="77777777" w:rsidR="00283385" w:rsidRPr="00264AE1" w:rsidRDefault="00283385" w:rsidP="00450989">
            <w:pPr>
              <w:pStyle w:val="CZWSPP1wTABELIczwsppoziomu1numeracjiwtabeli"/>
            </w:pPr>
            <w:r w:rsidRPr="00264AE1">
              <w:t>Choroby układu krążenia</w:t>
            </w:r>
          </w:p>
        </w:tc>
        <w:tc>
          <w:tcPr>
            <w:tcW w:w="4097" w:type="dxa"/>
            <w:tcBorders>
              <w:top w:val="single" w:sz="4" w:space="0" w:color="auto"/>
              <w:left w:val="single" w:sz="4" w:space="0" w:color="auto"/>
              <w:bottom w:val="single" w:sz="4" w:space="0" w:color="auto"/>
              <w:right w:val="single" w:sz="4" w:space="0" w:color="auto"/>
            </w:tcBorders>
            <w:hideMark/>
          </w:tcPr>
          <w:p w14:paraId="0AAFE1AC" w14:textId="77777777" w:rsidR="00283385" w:rsidRPr="00264AE1" w:rsidRDefault="00283385" w:rsidP="000A122C">
            <w:pPr>
              <w:pStyle w:val="CZWSPP1wTABELIczwsppoziomu1numeracjiwtabeli"/>
            </w:pPr>
            <w:r>
              <w:t xml:space="preserve">Kandydaci na </w:t>
            </w:r>
            <w:r w:rsidRPr="00264AE1">
              <w:t>dawc</w:t>
            </w:r>
            <w:r>
              <w:t>ów</w:t>
            </w:r>
            <w:r w:rsidRPr="00264AE1">
              <w:t xml:space="preserve"> </w:t>
            </w:r>
            <w:r>
              <w:t>krwi</w:t>
            </w:r>
            <w:r w:rsidR="000A122C">
              <w:t xml:space="preserve"> albo</w:t>
            </w:r>
            <w:r w:rsidR="007D0948">
              <w:t xml:space="preserve"> dawcy krwi</w:t>
            </w:r>
            <w:r>
              <w:t xml:space="preserve"> </w:t>
            </w:r>
            <w:r w:rsidRPr="00264AE1">
              <w:t>z aktywną lub przebytą poważną chorobą układu krążenia, oprócz wad wrodzonych całkowicie wyleczonych</w:t>
            </w:r>
            <w:r>
              <w:t>.</w:t>
            </w:r>
          </w:p>
        </w:tc>
      </w:tr>
      <w:tr w:rsidR="00283385" w14:paraId="4029CA55" w14:textId="77777777" w:rsidTr="00283385">
        <w:tc>
          <w:tcPr>
            <w:tcW w:w="534" w:type="dxa"/>
            <w:tcBorders>
              <w:top w:val="single" w:sz="4" w:space="0" w:color="auto"/>
              <w:left w:val="single" w:sz="4" w:space="0" w:color="auto"/>
              <w:bottom w:val="single" w:sz="4" w:space="0" w:color="auto"/>
              <w:right w:val="single" w:sz="4" w:space="0" w:color="auto"/>
            </w:tcBorders>
          </w:tcPr>
          <w:p w14:paraId="4A02F0CA" w14:textId="77777777" w:rsidR="00283385" w:rsidRPr="00264AE1" w:rsidRDefault="00283385" w:rsidP="00450989">
            <w:pPr>
              <w:pStyle w:val="CZWSPP1wTABELIczwsppoziomu1numeracjiwtabeli"/>
            </w:pPr>
            <w:r>
              <w:t xml:space="preserve">2. </w:t>
            </w:r>
          </w:p>
        </w:tc>
        <w:tc>
          <w:tcPr>
            <w:tcW w:w="4639" w:type="dxa"/>
            <w:tcBorders>
              <w:top w:val="single" w:sz="4" w:space="0" w:color="auto"/>
              <w:left w:val="single" w:sz="4" w:space="0" w:color="auto"/>
              <w:bottom w:val="single" w:sz="4" w:space="0" w:color="auto"/>
              <w:right w:val="single" w:sz="4" w:space="0" w:color="auto"/>
            </w:tcBorders>
            <w:hideMark/>
          </w:tcPr>
          <w:p w14:paraId="6DDC5331" w14:textId="77777777" w:rsidR="00283385" w:rsidRPr="00264AE1" w:rsidRDefault="00283385" w:rsidP="00450989">
            <w:pPr>
              <w:pStyle w:val="CZWSPP1wTABELIczwsppoziomu1numeracjiwtabeli"/>
            </w:pPr>
            <w:r w:rsidRPr="00264AE1">
              <w:t>Choroby układu nerwowego</w:t>
            </w:r>
          </w:p>
        </w:tc>
        <w:tc>
          <w:tcPr>
            <w:tcW w:w="4097" w:type="dxa"/>
            <w:tcBorders>
              <w:top w:val="single" w:sz="4" w:space="0" w:color="auto"/>
              <w:left w:val="single" w:sz="4" w:space="0" w:color="auto"/>
              <w:bottom w:val="single" w:sz="4" w:space="0" w:color="auto"/>
              <w:right w:val="single" w:sz="4" w:space="0" w:color="auto"/>
            </w:tcBorders>
            <w:hideMark/>
          </w:tcPr>
          <w:p w14:paraId="38706887" w14:textId="77777777" w:rsidR="00283385" w:rsidRPr="00264AE1" w:rsidRDefault="000A122C" w:rsidP="00450989">
            <w:pPr>
              <w:pStyle w:val="CZWSPP1wTABELIczwsppoziomu1numeracjiwtabeli"/>
            </w:pPr>
            <w:r w:rsidRPr="000A122C">
              <w:t xml:space="preserve">Kandydaci na dawców krwi </w:t>
            </w:r>
            <w:r>
              <w:t>albo</w:t>
            </w:r>
            <w:r w:rsidRPr="000A122C">
              <w:t xml:space="preserve"> dawcy krwi </w:t>
            </w:r>
            <w:r w:rsidR="00283385" w:rsidRPr="00264AE1">
              <w:t>z poważną chorobą aktywną, przewlekłą lub nawracającą.</w:t>
            </w:r>
          </w:p>
          <w:p w14:paraId="4B66C1E8" w14:textId="77777777" w:rsidR="00283385" w:rsidRPr="00264AE1" w:rsidRDefault="00283385" w:rsidP="00450989">
            <w:pPr>
              <w:pStyle w:val="CZWSPP1wTABELIczwsppoziomu1numeracjiwtabeli"/>
            </w:pPr>
            <w:r w:rsidRPr="00264AE1">
              <w:t>Przebycie poważnej choroby ośrodkowego układu nerwowego.</w:t>
            </w:r>
          </w:p>
        </w:tc>
      </w:tr>
      <w:tr w:rsidR="00283385" w14:paraId="699A53E9" w14:textId="77777777" w:rsidTr="00283385">
        <w:tc>
          <w:tcPr>
            <w:tcW w:w="534" w:type="dxa"/>
            <w:tcBorders>
              <w:top w:val="single" w:sz="4" w:space="0" w:color="auto"/>
              <w:left w:val="single" w:sz="4" w:space="0" w:color="auto"/>
              <w:bottom w:val="single" w:sz="4" w:space="0" w:color="auto"/>
              <w:right w:val="single" w:sz="4" w:space="0" w:color="auto"/>
            </w:tcBorders>
          </w:tcPr>
          <w:p w14:paraId="1E43EBAF" w14:textId="77777777" w:rsidR="00283385" w:rsidRPr="00264AE1" w:rsidRDefault="00283385" w:rsidP="00450989">
            <w:pPr>
              <w:pStyle w:val="CZWSPP1wTABELIczwsppoziomu1numeracjiwtabeli"/>
            </w:pPr>
            <w:r>
              <w:t xml:space="preserve">3. </w:t>
            </w:r>
          </w:p>
        </w:tc>
        <w:tc>
          <w:tcPr>
            <w:tcW w:w="4639" w:type="dxa"/>
            <w:tcBorders>
              <w:top w:val="single" w:sz="4" w:space="0" w:color="auto"/>
              <w:left w:val="single" w:sz="4" w:space="0" w:color="auto"/>
              <w:bottom w:val="single" w:sz="4" w:space="0" w:color="auto"/>
              <w:right w:val="single" w:sz="4" w:space="0" w:color="auto"/>
            </w:tcBorders>
            <w:hideMark/>
          </w:tcPr>
          <w:p w14:paraId="2EB55305" w14:textId="77777777" w:rsidR="00283385" w:rsidRPr="00264AE1" w:rsidRDefault="00283385" w:rsidP="00450989">
            <w:pPr>
              <w:pStyle w:val="CZWSPP1wTABELIczwsppoziomu1numeracjiwtabeli"/>
            </w:pPr>
            <w:r w:rsidRPr="00264AE1">
              <w:t>Skłonność do patologicznych krwawień</w:t>
            </w:r>
          </w:p>
        </w:tc>
        <w:tc>
          <w:tcPr>
            <w:tcW w:w="4097" w:type="dxa"/>
            <w:tcBorders>
              <w:top w:val="single" w:sz="4" w:space="0" w:color="auto"/>
              <w:left w:val="single" w:sz="4" w:space="0" w:color="auto"/>
              <w:bottom w:val="single" w:sz="4" w:space="0" w:color="auto"/>
              <w:right w:val="single" w:sz="4" w:space="0" w:color="auto"/>
            </w:tcBorders>
            <w:hideMark/>
          </w:tcPr>
          <w:p w14:paraId="7D3EB45D" w14:textId="77777777" w:rsidR="00283385" w:rsidRPr="00264AE1" w:rsidRDefault="000A122C" w:rsidP="00450989">
            <w:pPr>
              <w:pStyle w:val="CZWSPP1wTABELIczwsppoziomu1numeracjiwtabeli"/>
            </w:pPr>
            <w:r w:rsidRPr="000A122C">
              <w:t xml:space="preserve">Kandydaci na dawców krwi albo dawcy krwi </w:t>
            </w:r>
            <w:r w:rsidR="00283385" w:rsidRPr="00264AE1">
              <w:t>z zaburzeniami krzepnięcia w wywiadzie</w:t>
            </w:r>
            <w:r w:rsidR="00283385">
              <w:t>.</w:t>
            </w:r>
          </w:p>
        </w:tc>
      </w:tr>
      <w:tr w:rsidR="00283385" w14:paraId="0EBAEE10" w14:textId="77777777" w:rsidTr="00283385">
        <w:tc>
          <w:tcPr>
            <w:tcW w:w="534" w:type="dxa"/>
            <w:tcBorders>
              <w:top w:val="single" w:sz="4" w:space="0" w:color="auto"/>
              <w:left w:val="single" w:sz="4" w:space="0" w:color="auto"/>
              <w:bottom w:val="single" w:sz="4" w:space="0" w:color="auto"/>
              <w:right w:val="single" w:sz="4" w:space="0" w:color="auto"/>
            </w:tcBorders>
          </w:tcPr>
          <w:p w14:paraId="609202DC" w14:textId="77777777" w:rsidR="00283385" w:rsidRPr="00264AE1" w:rsidRDefault="00283385" w:rsidP="00450989">
            <w:pPr>
              <w:pStyle w:val="CZWSPP1wTABELIczwsppoziomu1numeracjiwtabeli"/>
            </w:pPr>
            <w:r>
              <w:t xml:space="preserve">4. </w:t>
            </w:r>
          </w:p>
        </w:tc>
        <w:tc>
          <w:tcPr>
            <w:tcW w:w="4639" w:type="dxa"/>
            <w:tcBorders>
              <w:top w:val="single" w:sz="4" w:space="0" w:color="auto"/>
              <w:left w:val="single" w:sz="4" w:space="0" w:color="auto"/>
              <w:bottom w:val="single" w:sz="4" w:space="0" w:color="auto"/>
              <w:right w:val="single" w:sz="4" w:space="0" w:color="auto"/>
            </w:tcBorders>
            <w:hideMark/>
          </w:tcPr>
          <w:p w14:paraId="5C849D5E" w14:textId="77777777" w:rsidR="00283385" w:rsidRPr="00264AE1" w:rsidRDefault="00283385" w:rsidP="00450989">
            <w:pPr>
              <w:pStyle w:val="CZWSPP1wTABELIczwsppoziomu1numeracjiwtabeli"/>
            </w:pPr>
            <w:r w:rsidRPr="00264AE1">
              <w:t>Nawracające omdlenia</w:t>
            </w:r>
          </w:p>
          <w:p w14:paraId="66960B1E" w14:textId="77777777" w:rsidR="00283385" w:rsidRPr="00264AE1" w:rsidRDefault="00283385" w:rsidP="00450989">
            <w:pPr>
              <w:pStyle w:val="CZWSPP1wTABELIczwsppoziomu1numeracjiwtabeli"/>
            </w:pPr>
            <w:r w:rsidRPr="00264AE1">
              <w:t>albo napady drgawkowe</w:t>
            </w:r>
          </w:p>
        </w:tc>
        <w:tc>
          <w:tcPr>
            <w:tcW w:w="4097" w:type="dxa"/>
            <w:tcBorders>
              <w:top w:val="single" w:sz="4" w:space="0" w:color="auto"/>
              <w:left w:val="single" w:sz="4" w:space="0" w:color="auto"/>
              <w:bottom w:val="single" w:sz="4" w:space="0" w:color="auto"/>
              <w:right w:val="single" w:sz="4" w:space="0" w:color="auto"/>
            </w:tcBorders>
            <w:hideMark/>
          </w:tcPr>
          <w:p w14:paraId="25357449" w14:textId="77777777" w:rsidR="00283385" w:rsidRPr="00264AE1" w:rsidRDefault="00283385" w:rsidP="00450989">
            <w:pPr>
              <w:pStyle w:val="CZWSPP1wTABELIczwsppoziomu1numeracjiwtabeli"/>
            </w:pPr>
            <w:r w:rsidRPr="00264AE1">
              <w:t>Poza drgawkami wieku dziecięcego lub sytuacją, w której co najmniej przez 3 lata po zakończeniu leczenia nie obserwuje się nawracających drgawek</w:t>
            </w:r>
            <w:r>
              <w:t>.</w:t>
            </w:r>
          </w:p>
        </w:tc>
      </w:tr>
      <w:tr w:rsidR="00283385" w14:paraId="0465248E" w14:textId="77777777" w:rsidTr="00283385">
        <w:tc>
          <w:tcPr>
            <w:tcW w:w="534" w:type="dxa"/>
            <w:tcBorders>
              <w:top w:val="single" w:sz="4" w:space="0" w:color="auto"/>
              <w:left w:val="single" w:sz="4" w:space="0" w:color="auto"/>
              <w:bottom w:val="single" w:sz="4" w:space="0" w:color="auto"/>
              <w:right w:val="single" w:sz="4" w:space="0" w:color="auto"/>
            </w:tcBorders>
          </w:tcPr>
          <w:p w14:paraId="344B919D" w14:textId="77777777" w:rsidR="00283385" w:rsidRPr="00450989" w:rsidRDefault="00283385" w:rsidP="00450989">
            <w:pPr>
              <w:pStyle w:val="CZWSPP1wTABELIczwsppoziomu1numeracjiwtabeli"/>
            </w:pPr>
            <w:r>
              <w:t>5.</w:t>
            </w:r>
          </w:p>
        </w:tc>
        <w:tc>
          <w:tcPr>
            <w:tcW w:w="4639" w:type="dxa"/>
            <w:tcBorders>
              <w:top w:val="single" w:sz="4" w:space="0" w:color="auto"/>
              <w:left w:val="single" w:sz="4" w:space="0" w:color="auto"/>
              <w:bottom w:val="single" w:sz="4" w:space="0" w:color="auto"/>
              <w:right w:val="single" w:sz="4" w:space="0" w:color="auto"/>
            </w:tcBorders>
            <w:hideMark/>
          </w:tcPr>
          <w:p w14:paraId="521DF78B" w14:textId="77777777" w:rsidR="00283385" w:rsidRPr="00450989" w:rsidRDefault="00283385" w:rsidP="00450989">
            <w:pPr>
              <w:pStyle w:val="CZWSPP1wTABELIczwsppoziomu1numeracjiwtabeli"/>
            </w:pPr>
            <w:r w:rsidRPr="00450989">
              <w:t>Choroby układu pokarmowego</w:t>
            </w:r>
          </w:p>
        </w:tc>
        <w:tc>
          <w:tcPr>
            <w:tcW w:w="4097" w:type="dxa"/>
            <w:vMerge w:val="restart"/>
            <w:tcBorders>
              <w:top w:val="single" w:sz="4" w:space="0" w:color="auto"/>
              <w:left w:val="single" w:sz="4" w:space="0" w:color="auto"/>
              <w:right w:val="single" w:sz="4" w:space="0" w:color="auto"/>
            </w:tcBorders>
          </w:tcPr>
          <w:p w14:paraId="62AE8296" w14:textId="5F51DE14" w:rsidR="00283385" w:rsidRPr="00450989" w:rsidRDefault="000A122C" w:rsidP="00450989">
            <w:pPr>
              <w:pStyle w:val="CZWSPP1wTABELIczwsppoziomu1numeracjiwtabeli"/>
            </w:pPr>
            <w:r w:rsidRPr="000A122C">
              <w:t xml:space="preserve">Kandydaci na dawców krwi albo dawcy krwi </w:t>
            </w:r>
            <w:r w:rsidR="0008669D">
              <w:t xml:space="preserve">z </w:t>
            </w:r>
            <w:r w:rsidR="00283385" w:rsidRPr="00450989">
              <w:t>chorobą aktywną, przewlekłą lub nawracającą</w:t>
            </w:r>
            <w:r w:rsidR="00283385">
              <w:t>.</w:t>
            </w:r>
          </w:p>
          <w:p w14:paraId="5BD48E54" w14:textId="77777777" w:rsidR="00283385" w:rsidRPr="00450989" w:rsidRDefault="00283385" w:rsidP="00450989">
            <w:pPr>
              <w:pStyle w:val="CZWSPP1wTABELIczwsppoziomu1numeracjiwtabeli"/>
            </w:pPr>
          </w:p>
        </w:tc>
      </w:tr>
      <w:tr w:rsidR="00283385" w14:paraId="4C7025C5" w14:textId="77777777" w:rsidTr="00283385">
        <w:tc>
          <w:tcPr>
            <w:tcW w:w="534" w:type="dxa"/>
            <w:tcBorders>
              <w:top w:val="single" w:sz="4" w:space="0" w:color="auto"/>
              <w:left w:val="single" w:sz="4" w:space="0" w:color="auto"/>
              <w:bottom w:val="single" w:sz="4" w:space="0" w:color="auto"/>
              <w:right w:val="single" w:sz="4" w:space="0" w:color="auto"/>
            </w:tcBorders>
          </w:tcPr>
          <w:p w14:paraId="37380E9D" w14:textId="77777777" w:rsidR="00283385" w:rsidRPr="00450989" w:rsidRDefault="00283385" w:rsidP="00450989">
            <w:pPr>
              <w:pStyle w:val="CZWSPP1wTABELIczwsppoziomu1numeracjiwtabeli"/>
            </w:pPr>
            <w:r>
              <w:t xml:space="preserve">6. </w:t>
            </w:r>
          </w:p>
        </w:tc>
        <w:tc>
          <w:tcPr>
            <w:tcW w:w="4639" w:type="dxa"/>
            <w:tcBorders>
              <w:top w:val="single" w:sz="4" w:space="0" w:color="auto"/>
              <w:left w:val="single" w:sz="4" w:space="0" w:color="auto"/>
              <w:bottom w:val="single" w:sz="4" w:space="0" w:color="auto"/>
              <w:right w:val="single" w:sz="4" w:space="0" w:color="auto"/>
            </w:tcBorders>
            <w:hideMark/>
          </w:tcPr>
          <w:p w14:paraId="7C956B42" w14:textId="77777777" w:rsidR="00283385" w:rsidRPr="00450989" w:rsidRDefault="00283385" w:rsidP="00450989">
            <w:pPr>
              <w:pStyle w:val="CZWSPP1wTABELIczwsppoziomu1numeracjiwtabeli"/>
            </w:pPr>
            <w:r w:rsidRPr="00450989">
              <w:t>Choroby układu oddechowego</w:t>
            </w:r>
          </w:p>
        </w:tc>
        <w:tc>
          <w:tcPr>
            <w:tcW w:w="4097" w:type="dxa"/>
            <w:vMerge/>
            <w:tcBorders>
              <w:left w:val="single" w:sz="4" w:space="0" w:color="auto"/>
              <w:right w:val="single" w:sz="4" w:space="0" w:color="auto"/>
            </w:tcBorders>
          </w:tcPr>
          <w:p w14:paraId="0B40B519" w14:textId="77777777" w:rsidR="00283385" w:rsidRPr="00450989" w:rsidRDefault="00283385" w:rsidP="00450989">
            <w:pPr>
              <w:pStyle w:val="CZWSPP1wTABELIczwsppoziomu1numeracjiwtabeli"/>
            </w:pPr>
          </w:p>
        </w:tc>
      </w:tr>
      <w:tr w:rsidR="00283385" w14:paraId="0A72238D" w14:textId="77777777" w:rsidTr="00283385">
        <w:tc>
          <w:tcPr>
            <w:tcW w:w="534" w:type="dxa"/>
            <w:tcBorders>
              <w:top w:val="single" w:sz="4" w:space="0" w:color="auto"/>
              <w:left w:val="single" w:sz="4" w:space="0" w:color="auto"/>
              <w:bottom w:val="single" w:sz="4" w:space="0" w:color="auto"/>
              <w:right w:val="single" w:sz="4" w:space="0" w:color="auto"/>
            </w:tcBorders>
          </w:tcPr>
          <w:p w14:paraId="0565DE6C" w14:textId="77777777" w:rsidR="00283385" w:rsidRPr="00450989" w:rsidRDefault="00283385" w:rsidP="00450989">
            <w:pPr>
              <w:pStyle w:val="CZWSPP1wTABELIczwsppoziomu1numeracjiwtabeli"/>
            </w:pPr>
            <w:r>
              <w:t xml:space="preserve">7. </w:t>
            </w:r>
          </w:p>
        </w:tc>
        <w:tc>
          <w:tcPr>
            <w:tcW w:w="4639" w:type="dxa"/>
            <w:tcBorders>
              <w:top w:val="single" w:sz="4" w:space="0" w:color="auto"/>
              <w:left w:val="single" w:sz="4" w:space="0" w:color="auto"/>
              <w:bottom w:val="single" w:sz="4" w:space="0" w:color="auto"/>
              <w:right w:val="single" w:sz="4" w:space="0" w:color="auto"/>
            </w:tcBorders>
            <w:hideMark/>
          </w:tcPr>
          <w:p w14:paraId="30127F45" w14:textId="77777777" w:rsidR="00283385" w:rsidRPr="00450989" w:rsidRDefault="00283385" w:rsidP="00450989">
            <w:pPr>
              <w:pStyle w:val="CZWSPP1wTABELIczwsppoziomu1numeracjiwtabeli"/>
            </w:pPr>
            <w:r w:rsidRPr="00450989">
              <w:t>Choroby układu moczowo-płciowego i nerek</w:t>
            </w:r>
          </w:p>
        </w:tc>
        <w:tc>
          <w:tcPr>
            <w:tcW w:w="4097" w:type="dxa"/>
            <w:vMerge/>
            <w:tcBorders>
              <w:left w:val="single" w:sz="4" w:space="0" w:color="auto"/>
              <w:right w:val="single" w:sz="4" w:space="0" w:color="auto"/>
            </w:tcBorders>
          </w:tcPr>
          <w:p w14:paraId="50A95015" w14:textId="77777777" w:rsidR="00283385" w:rsidRPr="00450989" w:rsidRDefault="00283385" w:rsidP="00450989">
            <w:pPr>
              <w:pStyle w:val="CZWSPP1wTABELIczwsppoziomu1numeracjiwtabeli"/>
            </w:pPr>
          </w:p>
        </w:tc>
      </w:tr>
      <w:tr w:rsidR="00283385" w14:paraId="670DAE8E" w14:textId="77777777" w:rsidTr="00283385">
        <w:tc>
          <w:tcPr>
            <w:tcW w:w="534" w:type="dxa"/>
            <w:tcBorders>
              <w:top w:val="single" w:sz="4" w:space="0" w:color="auto"/>
              <w:left w:val="single" w:sz="4" w:space="0" w:color="auto"/>
              <w:bottom w:val="single" w:sz="4" w:space="0" w:color="auto"/>
              <w:right w:val="single" w:sz="4" w:space="0" w:color="auto"/>
            </w:tcBorders>
          </w:tcPr>
          <w:p w14:paraId="57CA9D9B" w14:textId="77777777" w:rsidR="00283385" w:rsidRPr="00450989" w:rsidRDefault="00283385" w:rsidP="00450989">
            <w:pPr>
              <w:pStyle w:val="CZWSPP1wTABELIczwsppoziomu1numeracjiwtabeli"/>
            </w:pPr>
            <w:r>
              <w:t xml:space="preserve">8. </w:t>
            </w:r>
          </w:p>
        </w:tc>
        <w:tc>
          <w:tcPr>
            <w:tcW w:w="4639" w:type="dxa"/>
            <w:tcBorders>
              <w:top w:val="single" w:sz="4" w:space="0" w:color="auto"/>
              <w:left w:val="single" w:sz="4" w:space="0" w:color="auto"/>
              <w:bottom w:val="single" w:sz="4" w:space="0" w:color="auto"/>
              <w:right w:val="single" w:sz="4" w:space="0" w:color="auto"/>
            </w:tcBorders>
            <w:hideMark/>
          </w:tcPr>
          <w:p w14:paraId="130D24CB" w14:textId="77777777" w:rsidR="00283385" w:rsidRPr="00450989" w:rsidRDefault="00283385" w:rsidP="00450989">
            <w:pPr>
              <w:pStyle w:val="CZWSPP1wTABELIczwsppoziomu1numeracjiwtabeli"/>
            </w:pPr>
            <w:r w:rsidRPr="00450989">
              <w:t>Choroby układu immunologicznego</w:t>
            </w:r>
          </w:p>
        </w:tc>
        <w:tc>
          <w:tcPr>
            <w:tcW w:w="4097" w:type="dxa"/>
            <w:vMerge/>
            <w:tcBorders>
              <w:left w:val="single" w:sz="4" w:space="0" w:color="auto"/>
              <w:right w:val="single" w:sz="4" w:space="0" w:color="auto"/>
            </w:tcBorders>
          </w:tcPr>
          <w:p w14:paraId="7A493F48" w14:textId="77777777" w:rsidR="00283385" w:rsidRPr="00450989" w:rsidRDefault="00283385" w:rsidP="00450989">
            <w:pPr>
              <w:pStyle w:val="CZWSPP1wTABELIczwsppoziomu1numeracjiwtabeli"/>
            </w:pPr>
          </w:p>
        </w:tc>
      </w:tr>
      <w:tr w:rsidR="00283385" w14:paraId="2A18A0EA" w14:textId="77777777" w:rsidTr="00283385">
        <w:tc>
          <w:tcPr>
            <w:tcW w:w="534" w:type="dxa"/>
            <w:tcBorders>
              <w:top w:val="single" w:sz="4" w:space="0" w:color="auto"/>
              <w:left w:val="single" w:sz="4" w:space="0" w:color="auto"/>
              <w:bottom w:val="single" w:sz="4" w:space="0" w:color="auto"/>
              <w:right w:val="single" w:sz="4" w:space="0" w:color="auto"/>
            </w:tcBorders>
          </w:tcPr>
          <w:p w14:paraId="12EE721A" w14:textId="77777777" w:rsidR="00283385" w:rsidRPr="00450989" w:rsidRDefault="00283385" w:rsidP="00450989">
            <w:pPr>
              <w:pStyle w:val="CZWSPP1wTABELIczwsppoziomu1numeracjiwtabeli"/>
            </w:pPr>
            <w:r>
              <w:t>9.</w:t>
            </w:r>
          </w:p>
        </w:tc>
        <w:tc>
          <w:tcPr>
            <w:tcW w:w="4639" w:type="dxa"/>
            <w:tcBorders>
              <w:top w:val="single" w:sz="4" w:space="0" w:color="auto"/>
              <w:left w:val="single" w:sz="4" w:space="0" w:color="auto"/>
              <w:bottom w:val="single" w:sz="4" w:space="0" w:color="auto"/>
              <w:right w:val="single" w:sz="4" w:space="0" w:color="auto"/>
            </w:tcBorders>
            <w:hideMark/>
          </w:tcPr>
          <w:p w14:paraId="609C143A" w14:textId="77777777" w:rsidR="00283385" w:rsidRPr="00450989" w:rsidRDefault="00283385" w:rsidP="00450989">
            <w:pPr>
              <w:pStyle w:val="CZWSPP1wTABELIczwsppoziomu1numeracjiwtabeli"/>
            </w:pPr>
            <w:r w:rsidRPr="00450989">
              <w:t xml:space="preserve">Choroby metaboliczne i choroby układu </w:t>
            </w:r>
            <w:proofErr w:type="spellStart"/>
            <w:r w:rsidRPr="00450989">
              <w:t>endokrynnego</w:t>
            </w:r>
            <w:proofErr w:type="spellEnd"/>
          </w:p>
        </w:tc>
        <w:tc>
          <w:tcPr>
            <w:tcW w:w="4097" w:type="dxa"/>
            <w:vMerge/>
            <w:tcBorders>
              <w:left w:val="single" w:sz="4" w:space="0" w:color="auto"/>
              <w:right w:val="single" w:sz="4" w:space="0" w:color="auto"/>
            </w:tcBorders>
          </w:tcPr>
          <w:p w14:paraId="5EC0EB88" w14:textId="77777777" w:rsidR="00283385" w:rsidRPr="00450989" w:rsidRDefault="00283385" w:rsidP="00450989">
            <w:pPr>
              <w:pStyle w:val="CZWSPP1wTABELIczwsppoziomu1numeracjiwtabeli"/>
            </w:pPr>
          </w:p>
        </w:tc>
      </w:tr>
      <w:tr w:rsidR="00283385" w14:paraId="01C474FA" w14:textId="77777777" w:rsidTr="00283385">
        <w:tc>
          <w:tcPr>
            <w:tcW w:w="534" w:type="dxa"/>
            <w:tcBorders>
              <w:top w:val="single" w:sz="4" w:space="0" w:color="auto"/>
              <w:left w:val="single" w:sz="4" w:space="0" w:color="auto"/>
              <w:bottom w:val="single" w:sz="4" w:space="0" w:color="auto"/>
              <w:right w:val="single" w:sz="4" w:space="0" w:color="auto"/>
            </w:tcBorders>
          </w:tcPr>
          <w:p w14:paraId="0DE2090D" w14:textId="77777777" w:rsidR="00283385" w:rsidRPr="00450989" w:rsidRDefault="00283385" w:rsidP="00450989">
            <w:pPr>
              <w:pStyle w:val="CZWSPP1wTABELIczwsppoziomu1numeracjiwtabeli"/>
            </w:pPr>
            <w:r>
              <w:t xml:space="preserve">10. </w:t>
            </w:r>
          </w:p>
        </w:tc>
        <w:tc>
          <w:tcPr>
            <w:tcW w:w="4639" w:type="dxa"/>
            <w:tcBorders>
              <w:top w:val="single" w:sz="4" w:space="0" w:color="auto"/>
              <w:left w:val="single" w:sz="4" w:space="0" w:color="auto"/>
              <w:bottom w:val="single" w:sz="4" w:space="0" w:color="auto"/>
              <w:right w:val="single" w:sz="4" w:space="0" w:color="auto"/>
            </w:tcBorders>
            <w:hideMark/>
          </w:tcPr>
          <w:p w14:paraId="3381FB9C" w14:textId="77777777" w:rsidR="00283385" w:rsidRPr="00450989" w:rsidRDefault="00283385" w:rsidP="00450989">
            <w:pPr>
              <w:pStyle w:val="CZWSPP1wTABELIczwsppoziomu1numeracjiwtabeli"/>
            </w:pPr>
            <w:r w:rsidRPr="00450989">
              <w:t>Choroby krwi i układu krwiotwórczego</w:t>
            </w:r>
          </w:p>
        </w:tc>
        <w:tc>
          <w:tcPr>
            <w:tcW w:w="4097" w:type="dxa"/>
            <w:vMerge/>
            <w:tcBorders>
              <w:left w:val="single" w:sz="4" w:space="0" w:color="auto"/>
              <w:right w:val="single" w:sz="4" w:space="0" w:color="auto"/>
            </w:tcBorders>
          </w:tcPr>
          <w:p w14:paraId="1C9E58E1" w14:textId="77777777" w:rsidR="00283385" w:rsidRPr="00450989" w:rsidRDefault="00283385" w:rsidP="00450989">
            <w:pPr>
              <w:pStyle w:val="CZWSPP1wTABELIczwsppoziomu1numeracjiwtabeli"/>
            </w:pPr>
          </w:p>
        </w:tc>
      </w:tr>
      <w:tr w:rsidR="00283385" w14:paraId="664E4A59" w14:textId="77777777" w:rsidTr="00283385">
        <w:tc>
          <w:tcPr>
            <w:tcW w:w="534" w:type="dxa"/>
            <w:tcBorders>
              <w:top w:val="single" w:sz="4" w:space="0" w:color="auto"/>
              <w:left w:val="single" w:sz="4" w:space="0" w:color="auto"/>
              <w:bottom w:val="single" w:sz="4" w:space="0" w:color="auto"/>
              <w:right w:val="single" w:sz="4" w:space="0" w:color="auto"/>
            </w:tcBorders>
          </w:tcPr>
          <w:p w14:paraId="68C84800" w14:textId="77777777" w:rsidR="00283385" w:rsidRPr="00450989" w:rsidRDefault="00283385" w:rsidP="00450989">
            <w:pPr>
              <w:pStyle w:val="CZWSPP1wTABELIczwsppoziomu1numeracjiwtabeli"/>
            </w:pPr>
            <w:r>
              <w:t xml:space="preserve">11. </w:t>
            </w:r>
          </w:p>
        </w:tc>
        <w:tc>
          <w:tcPr>
            <w:tcW w:w="4639" w:type="dxa"/>
            <w:tcBorders>
              <w:top w:val="single" w:sz="4" w:space="0" w:color="auto"/>
              <w:left w:val="single" w:sz="4" w:space="0" w:color="auto"/>
              <w:bottom w:val="single" w:sz="4" w:space="0" w:color="auto"/>
              <w:right w:val="single" w:sz="4" w:space="0" w:color="auto"/>
            </w:tcBorders>
            <w:hideMark/>
          </w:tcPr>
          <w:p w14:paraId="667F1625" w14:textId="77777777" w:rsidR="00283385" w:rsidRPr="00450989" w:rsidRDefault="00283385" w:rsidP="00450989">
            <w:pPr>
              <w:pStyle w:val="CZWSPP1wTABELIczwsppoziomu1numeracjiwtabeli"/>
            </w:pPr>
            <w:r w:rsidRPr="00450989">
              <w:t>Choroby skóry</w:t>
            </w:r>
          </w:p>
        </w:tc>
        <w:tc>
          <w:tcPr>
            <w:tcW w:w="4097" w:type="dxa"/>
            <w:vMerge/>
            <w:tcBorders>
              <w:left w:val="single" w:sz="4" w:space="0" w:color="auto"/>
              <w:right w:val="single" w:sz="4" w:space="0" w:color="auto"/>
            </w:tcBorders>
          </w:tcPr>
          <w:p w14:paraId="34817ABC" w14:textId="77777777" w:rsidR="00283385" w:rsidRPr="00450989" w:rsidRDefault="00283385" w:rsidP="00450989">
            <w:pPr>
              <w:pStyle w:val="CZWSPP1wTABELIczwsppoziomu1numeracjiwtabeli"/>
            </w:pPr>
          </w:p>
        </w:tc>
      </w:tr>
      <w:tr w:rsidR="00283385" w14:paraId="46058C60" w14:textId="77777777" w:rsidTr="00283385">
        <w:tc>
          <w:tcPr>
            <w:tcW w:w="534" w:type="dxa"/>
            <w:tcBorders>
              <w:top w:val="single" w:sz="4" w:space="0" w:color="auto"/>
              <w:left w:val="single" w:sz="4" w:space="0" w:color="auto"/>
              <w:bottom w:val="single" w:sz="4" w:space="0" w:color="auto"/>
              <w:right w:val="single" w:sz="4" w:space="0" w:color="auto"/>
            </w:tcBorders>
          </w:tcPr>
          <w:p w14:paraId="6487202E" w14:textId="77777777" w:rsidR="00283385" w:rsidRPr="00450989" w:rsidRDefault="00283385" w:rsidP="00450989">
            <w:pPr>
              <w:pStyle w:val="CZWSPP1wTABELIczwsppoziomu1numeracjiwtabeli"/>
            </w:pPr>
            <w:r>
              <w:t>12.</w:t>
            </w:r>
          </w:p>
        </w:tc>
        <w:tc>
          <w:tcPr>
            <w:tcW w:w="4639" w:type="dxa"/>
            <w:tcBorders>
              <w:top w:val="single" w:sz="4" w:space="0" w:color="auto"/>
              <w:left w:val="single" w:sz="4" w:space="0" w:color="auto"/>
              <w:bottom w:val="single" w:sz="4" w:space="0" w:color="auto"/>
              <w:right w:val="single" w:sz="4" w:space="0" w:color="auto"/>
            </w:tcBorders>
            <w:hideMark/>
          </w:tcPr>
          <w:p w14:paraId="2EEA7B79" w14:textId="77777777" w:rsidR="00283385" w:rsidRPr="00450989" w:rsidRDefault="00283385" w:rsidP="00450989">
            <w:pPr>
              <w:pStyle w:val="CZWSPP1wTABELIczwsppoziomu1numeracjiwtabeli"/>
            </w:pPr>
            <w:r w:rsidRPr="00450989">
              <w:t>Choroby układowe np. kolagenozy</w:t>
            </w:r>
          </w:p>
        </w:tc>
        <w:tc>
          <w:tcPr>
            <w:tcW w:w="4097" w:type="dxa"/>
            <w:vMerge/>
            <w:tcBorders>
              <w:left w:val="single" w:sz="4" w:space="0" w:color="auto"/>
              <w:bottom w:val="single" w:sz="4" w:space="0" w:color="auto"/>
              <w:right w:val="single" w:sz="4" w:space="0" w:color="auto"/>
            </w:tcBorders>
          </w:tcPr>
          <w:p w14:paraId="748FA6F9" w14:textId="77777777" w:rsidR="00283385" w:rsidRPr="00450989" w:rsidRDefault="00283385" w:rsidP="00450989">
            <w:pPr>
              <w:pStyle w:val="CZWSPP1wTABELIczwsppoziomu1numeracjiwtabeli"/>
            </w:pPr>
          </w:p>
        </w:tc>
      </w:tr>
      <w:tr w:rsidR="00283385" w14:paraId="415FDFD7" w14:textId="77777777" w:rsidTr="00283385">
        <w:tc>
          <w:tcPr>
            <w:tcW w:w="534" w:type="dxa"/>
            <w:tcBorders>
              <w:top w:val="single" w:sz="4" w:space="0" w:color="auto"/>
              <w:left w:val="single" w:sz="4" w:space="0" w:color="auto"/>
              <w:bottom w:val="single" w:sz="4" w:space="0" w:color="auto"/>
              <w:right w:val="single" w:sz="4" w:space="0" w:color="auto"/>
            </w:tcBorders>
          </w:tcPr>
          <w:p w14:paraId="5DE72AB2" w14:textId="77777777" w:rsidR="00283385" w:rsidRPr="00450989" w:rsidRDefault="00283385" w:rsidP="00450989">
            <w:pPr>
              <w:pStyle w:val="CZWSPP1wTABELIczwsppoziomu1numeracjiwtabeli"/>
            </w:pPr>
            <w:r>
              <w:t>13,</w:t>
            </w:r>
          </w:p>
        </w:tc>
        <w:tc>
          <w:tcPr>
            <w:tcW w:w="4639" w:type="dxa"/>
            <w:tcBorders>
              <w:top w:val="single" w:sz="4" w:space="0" w:color="auto"/>
              <w:left w:val="single" w:sz="4" w:space="0" w:color="auto"/>
              <w:bottom w:val="single" w:sz="4" w:space="0" w:color="auto"/>
              <w:right w:val="single" w:sz="4" w:space="0" w:color="auto"/>
            </w:tcBorders>
            <w:hideMark/>
          </w:tcPr>
          <w:p w14:paraId="085DD71E" w14:textId="77777777" w:rsidR="00283385" w:rsidRPr="00450989" w:rsidRDefault="00283385" w:rsidP="00450989">
            <w:pPr>
              <w:pStyle w:val="CZWSPP1wTABELIczwsppoziomu1numeracjiwtabeli"/>
            </w:pPr>
            <w:r w:rsidRPr="00450989">
              <w:t>Cukrzyca</w:t>
            </w:r>
          </w:p>
        </w:tc>
        <w:tc>
          <w:tcPr>
            <w:tcW w:w="4097" w:type="dxa"/>
            <w:tcBorders>
              <w:top w:val="single" w:sz="4" w:space="0" w:color="auto"/>
              <w:left w:val="single" w:sz="4" w:space="0" w:color="auto"/>
              <w:bottom w:val="single" w:sz="4" w:space="0" w:color="auto"/>
              <w:right w:val="single" w:sz="4" w:space="0" w:color="auto"/>
            </w:tcBorders>
            <w:hideMark/>
          </w:tcPr>
          <w:p w14:paraId="13125552" w14:textId="77777777" w:rsidR="00283385" w:rsidRPr="00450989" w:rsidRDefault="000A122C" w:rsidP="00450989">
            <w:pPr>
              <w:pStyle w:val="CZWSPP1wTABELIczwsppoziomu1numeracjiwtabeli"/>
            </w:pPr>
            <w:r w:rsidRPr="000A122C">
              <w:t xml:space="preserve">Kandydaci na dawców krwi albo dawcy krwi </w:t>
            </w:r>
            <w:r w:rsidR="00283385" w:rsidRPr="00450989">
              <w:t>z rozpoznaną cukrzycą</w:t>
            </w:r>
            <w:r w:rsidR="00283385">
              <w:t>.</w:t>
            </w:r>
          </w:p>
        </w:tc>
      </w:tr>
      <w:tr w:rsidR="00283385" w14:paraId="67B7CAF6" w14:textId="77777777" w:rsidTr="00283385">
        <w:tc>
          <w:tcPr>
            <w:tcW w:w="534" w:type="dxa"/>
            <w:tcBorders>
              <w:top w:val="single" w:sz="4" w:space="0" w:color="auto"/>
              <w:left w:val="single" w:sz="4" w:space="0" w:color="auto"/>
              <w:bottom w:val="single" w:sz="4" w:space="0" w:color="auto"/>
              <w:right w:val="single" w:sz="4" w:space="0" w:color="auto"/>
            </w:tcBorders>
          </w:tcPr>
          <w:p w14:paraId="161B05A9" w14:textId="77777777" w:rsidR="00283385" w:rsidRPr="00450989" w:rsidRDefault="00283385" w:rsidP="00450989">
            <w:pPr>
              <w:pStyle w:val="CZWSPP1wTABELIczwsppoziomu1numeracjiwtabeli"/>
            </w:pPr>
            <w:r>
              <w:t>14.</w:t>
            </w:r>
          </w:p>
        </w:tc>
        <w:tc>
          <w:tcPr>
            <w:tcW w:w="4639" w:type="dxa"/>
            <w:tcBorders>
              <w:top w:val="single" w:sz="4" w:space="0" w:color="auto"/>
              <w:left w:val="single" w:sz="4" w:space="0" w:color="auto"/>
              <w:bottom w:val="single" w:sz="4" w:space="0" w:color="auto"/>
              <w:right w:val="single" w:sz="4" w:space="0" w:color="auto"/>
            </w:tcBorders>
            <w:hideMark/>
          </w:tcPr>
          <w:p w14:paraId="25B4F3F8" w14:textId="77777777" w:rsidR="00283385" w:rsidRPr="00450989" w:rsidRDefault="00283385" w:rsidP="00450989">
            <w:pPr>
              <w:pStyle w:val="CZWSPP1wTABELIczwsppoziomu1numeracjiwtabeli"/>
            </w:pPr>
            <w:r w:rsidRPr="00450989">
              <w:t>Choroby nowotworowe</w:t>
            </w:r>
          </w:p>
        </w:tc>
        <w:tc>
          <w:tcPr>
            <w:tcW w:w="4097" w:type="dxa"/>
            <w:tcBorders>
              <w:top w:val="single" w:sz="4" w:space="0" w:color="auto"/>
              <w:left w:val="single" w:sz="4" w:space="0" w:color="auto"/>
              <w:bottom w:val="single" w:sz="4" w:space="0" w:color="auto"/>
              <w:right w:val="single" w:sz="4" w:space="0" w:color="auto"/>
            </w:tcBorders>
            <w:hideMark/>
          </w:tcPr>
          <w:p w14:paraId="2A004730" w14:textId="77777777" w:rsidR="00283385" w:rsidRPr="00450989" w:rsidRDefault="00283385" w:rsidP="00492200">
            <w:pPr>
              <w:pStyle w:val="CZWSPP1wTABELIczwsppoziomu1numeracjiwtabeli"/>
            </w:pPr>
            <w:r w:rsidRPr="00450989">
              <w:t>Nowotw</w:t>
            </w:r>
            <w:r>
              <w:t>ór</w:t>
            </w:r>
            <w:r w:rsidRPr="00450989">
              <w:t xml:space="preserve"> złośliw</w:t>
            </w:r>
            <w:r>
              <w:t>y</w:t>
            </w:r>
            <w:r w:rsidRPr="00450989">
              <w:t xml:space="preserve"> poza </w:t>
            </w:r>
            <w:r>
              <w:t xml:space="preserve">nowotworem </w:t>
            </w:r>
            <w:r w:rsidRPr="00450989">
              <w:t xml:space="preserve"> in situ, pod warunkiem całkowitego wyleczenia</w:t>
            </w:r>
            <w:r>
              <w:t>.</w:t>
            </w:r>
          </w:p>
        </w:tc>
      </w:tr>
      <w:tr w:rsidR="00283385" w14:paraId="6B112FDF" w14:textId="77777777" w:rsidTr="00283385">
        <w:trPr>
          <w:trHeight w:val="3960"/>
        </w:trPr>
        <w:tc>
          <w:tcPr>
            <w:tcW w:w="534" w:type="dxa"/>
            <w:tcBorders>
              <w:top w:val="single" w:sz="4" w:space="0" w:color="auto"/>
              <w:left w:val="single" w:sz="4" w:space="0" w:color="auto"/>
              <w:bottom w:val="single" w:sz="4" w:space="0" w:color="auto"/>
              <w:right w:val="single" w:sz="4" w:space="0" w:color="auto"/>
            </w:tcBorders>
          </w:tcPr>
          <w:p w14:paraId="10F226FF" w14:textId="77777777" w:rsidR="00283385" w:rsidRPr="00450989" w:rsidRDefault="00283385" w:rsidP="00450989">
            <w:pPr>
              <w:pStyle w:val="CZWSPP1wTABELIczwsppoziomu1numeracjiwtabeli"/>
            </w:pPr>
            <w:r>
              <w:lastRenderedPageBreak/>
              <w:t>15.</w:t>
            </w:r>
          </w:p>
        </w:tc>
        <w:tc>
          <w:tcPr>
            <w:tcW w:w="4639" w:type="dxa"/>
            <w:tcBorders>
              <w:top w:val="single" w:sz="4" w:space="0" w:color="auto"/>
              <w:left w:val="single" w:sz="4" w:space="0" w:color="auto"/>
              <w:bottom w:val="single" w:sz="4" w:space="0" w:color="auto"/>
              <w:right w:val="single" w:sz="4" w:space="0" w:color="auto"/>
            </w:tcBorders>
            <w:hideMark/>
          </w:tcPr>
          <w:p w14:paraId="34CEC021" w14:textId="77777777" w:rsidR="00283385" w:rsidRPr="00450989" w:rsidRDefault="00283385" w:rsidP="00450989">
            <w:pPr>
              <w:pStyle w:val="CZWSPP1wTABELIczwsppoziomu1numeracjiwtabeli"/>
            </w:pPr>
            <w:r w:rsidRPr="00450989">
              <w:t>Choroby zakaźne</w:t>
            </w:r>
          </w:p>
        </w:tc>
        <w:tc>
          <w:tcPr>
            <w:tcW w:w="4097" w:type="dxa"/>
            <w:tcBorders>
              <w:top w:val="single" w:sz="4" w:space="0" w:color="auto"/>
              <w:left w:val="single" w:sz="4" w:space="0" w:color="auto"/>
              <w:bottom w:val="single" w:sz="4" w:space="0" w:color="auto"/>
              <w:right w:val="single" w:sz="4" w:space="0" w:color="auto"/>
            </w:tcBorders>
          </w:tcPr>
          <w:p w14:paraId="7AAD945E" w14:textId="77777777" w:rsidR="00283385" w:rsidRPr="00450989" w:rsidRDefault="00283385" w:rsidP="00450989">
            <w:pPr>
              <w:pStyle w:val="CZWSPP1wTABELIczwsppoziomu1numeracjiwtabeli"/>
            </w:pPr>
            <w:r>
              <w:t>1) w</w:t>
            </w:r>
            <w:r w:rsidRPr="00450989">
              <w:t xml:space="preserve">irusowe zapalenie wątroby typu B, poza osobami </w:t>
            </w:r>
            <w:proofErr w:type="spellStart"/>
            <w:r w:rsidRPr="00450989">
              <w:t>HBsAg</w:t>
            </w:r>
            <w:proofErr w:type="spellEnd"/>
            <w:r w:rsidRPr="00450989">
              <w:t>-ujemnymi, u których stwierdzono przeciwciała anty-</w:t>
            </w:r>
            <w:proofErr w:type="spellStart"/>
            <w:r w:rsidRPr="00450989">
              <w:t>HBs</w:t>
            </w:r>
            <w:proofErr w:type="spellEnd"/>
            <w:r>
              <w:t>;</w:t>
            </w:r>
          </w:p>
          <w:p w14:paraId="7021C6F1" w14:textId="77777777" w:rsidR="00283385" w:rsidRPr="00450989" w:rsidRDefault="00283385" w:rsidP="00450989">
            <w:pPr>
              <w:pStyle w:val="CZWSPP1wTABELIczwsppoziomu1numeracjiwtabeli"/>
            </w:pPr>
            <w:r>
              <w:t xml:space="preserve">2) </w:t>
            </w:r>
            <w:r w:rsidR="000A122C">
              <w:t>w</w:t>
            </w:r>
            <w:r w:rsidRPr="00450989">
              <w:t>irusowe zapalenie wątroby typu C</w:t>
            </w:r>
            <w:r>
              <w:t>;</w:t>
            </w:r>
          </w:p>
          <w:p w14:paraId="5ADA01DC" w14:textId="48AE7360" w:rsidR="00283385" w:rsidRPr="00450989" w:rsidRDefault="00E67F43" w:rsidP="00450989">
            <w:pPr>
              <w:pStyle w:val="CZWSPP1wTABELIczwsppoziomu1numeracjiwtabeli"/>
            </w:pPr>
            <w:r>
              <w:t>3)</w:t>
            </w:r>
            <w:r w:rsidR="0008669D">
              <w:t xml:space="preserve"> w</w:t>
            </w:r>
            <w:r w:rsidR="0008669D" w:rsidRPr="00450989">
              <w:t xml:space="preserve">irusowe </w:t>
            </w:r>
            <w:r w:rsidR="00283385" w:rsidRPr="00450989">
              <w:t>zapalenie wątroby w wywiadzie, żółtaczka o niejasnej etiologii</w:t>
            </w:r>
            <w:r w:rsidR="00DA6805">
              <w:t>;</w:t>
            </w:r>
          </w:p>
          <w:p w14:paraId="78864DEE" w14:textId="77777777" w:rsidR="00283385" w:rsidRPr="00450989" w:rsidRDefault="00E67F43" w:rsidP="00450989">
            <w:pPr>
              <w:pStyle w:val="CZWSPP1wTABELIczwsppoziomu1numeracjiwtabeli"/>
            </w:pPr>
            <w:r>
              <w:t>4)</w:t>
            </w:r>
            <w:r w:rsidR="00283385">
              <w:t xml:space="preserve"> </w:t>
            </w:r>
            <w:r w:rsidR="00283385" w:rsidRPr="00450989">
              <w:t>HIV-1/2</w:t>
            </w:r>
            <w:r w:rsidR="00DA6805">
              <w:t>;</w:t>
            </w:r>
          </w:p>
          <w:p w14:paraId="53688AB6" w14:textId="77777777" w:rsidR="00283385" w:rsidRPr="00450989" w:rsidRDefault="00E67F43" w:rsidP="00450989">
            <w:pPr>
              <w:pStyle w:val="CZWSPP1wTABELIczwsppoziomu1numeracjiwtabeli"/>
            </w:pPr>
            <w:r>
              <w:t>5)</w:t>
            </w:r>
            <w:r w:rsidR="00283385">
              <w:t xml:space="preserve"> </w:t>
            </w:r>
            <w:r w:rsidR="00283385" w:rsidRPr="00450989">
              <w:t>HTLV I/II</w:t>
            </w:r>
            <w:r w:rsidR="00DA6805">
              <w:t>;</w:t>
            </w:r>
          </w:p>
          <w:p w14:paraId="6C9E4DA5" w14:textId="77777777" w:rsidR="007247A8" w:rsidRDefault="00E67F43" w:rsidP="00450989">
            <w:pPr>
              <w:pStyle w:val="CZWSPP1wTABELIczwsppoziomu1numeracjiwtabeli"/>
            </w:pPr>
            <w:r>
              <w:t>6)</w:t>
            </w:r>
            <w:r w:rsidR="007247A8">
              <w:t xml:space="preserve"> </w:t>
            </w:r>
            <w:r w:rsidR="00283385" w:rsidRPr="00450989">
              <w:t>Babeszjoza</w:t>
            </w:r>
            <w:r w:rsidR="007247A8">
              <w:t xml:space="preserve">; </w:t>
            </w:r>
          </w:p>
          <w:p w14:paraId="10159181" w14:textId="77777777" w:rsidR="00283385" w:rsidRPr="00450989" w:rsidRDefault="00E67F43" w:rsidP="00450989">
            <w:pPr>
              <w:pStyle w:val="CZWSPP1wTABELIczwsppoziomu1numeracjiwtabeli"/>
            </w:pPr>
            <w:r>
              <w:t>7)</w:t>
            </w:r>
            <w:r w:rsidR="00283385">
              <w:t xml:space="preserve"> </w:t>
            </w:r>
            <w:r w:rsidR="00283385" w:rsidRPr="00450989">
              <w:t xml:space="preserve">Kala </w:t>
            </w:r>
            <w:proofErr w:type="spellStart"/>
            <w:r w:rsidR="00283385" w:rsidRPr="00450989">
              <w:t>Azar</w:t>
            </w:r>
            <w:proofErr w:type="spellEnd"/>
            <w:r w:rsidR="00283385" w:rsidRPr="00450989">
              <w:t xml:space="preserve"> (leiszmanioza trzewna)</w:t>
            </w:r>
            <w:r w:rsidR="00DA6805">
              <w:t>;</w:t>
            </w:r>
          </w:p>
          <w:p w14:paraId="267BBE55" w14:textId="77777777" w:rsidR="00283385" w:rsidRPr="00450989" w:rsidRDefault="00E67F43" w:rsidP="00450989">
            <w:pPr>
              <w:pStyle w:val="CZWSPP1wTABELIczwsppoziomu1numeracjiwtabeli"/>
            </w:pPr>
            <w:r>
              <w:t>8)</w:t>
            </w:r>
            <w:r w:rsidR="00283385" w:rsidRPr="00450989">
              <w:t xml:space="preserve"> </w:t>
            </w:r>
            <w:proofErr w:type="spellStart"/>
            <w:r w:rsidR="00283385" w:rsidRPr="00450989">
              <w:t>Trypanosomoza</w:t>
            </w:r>
            <w:proofErr w:type="spellEnd"/>
            <w:r w:rsidR="00283385" w:rsidRPr="00450989">
              <w:t xml:space="preserve"> </w:t>
            </w:r>
            <w:proofErr w:type="spellStart"/>
            <w:r w:rsidR="00283385" w:rsidRPr="00450989">
              <w:t>cruzi</w:t>
            </w:r>
            <w:proofErr w:type="spellEnd"/>
            <w:r w:rsidR="00283385" w:rsidRPr="00450989">
              <w:t xml:space="preserve"> (Gorączka </w:t>
            </w:r>
            <w:proofErr w:type="spellStart"/>
            <w:r w:rsidR="00283385" w:rsidRPr="00450989">
              <w:t>Chagasa</w:t>
            </w:r>
            <w:proofErr w:type="spellEnd"/>
            <w:r w:rsidR="00283385" w:rsidRPr="00450989">
              <w:t>)</w:t>
            </w:r>
            <w:r w:rsidR="00DA6805">
              <w:t>;</w:t>
            </w:r>
          </w:p>
          <w:p w14:paraId="74418CC1" w14:textId="77777777" w:rsidR="00283385" w:rsidRPr="00450989" w:rsidRDefault="00E67F43" w:rsidP="00450989">
            <w:pPr>
              <w:pStyle w:val="CZWSPP1wTABELIczwsppoziomu1numeracjiwtabeli"/>
            </w:pPr>
            <w:r>
              <w:t>9)</w:t>
            </w:r>
            <w:r w:rsidR="00283385" w:rsidRPr="00450989">
              <w:t xml:space="preserve"> Promienica</w:t>
            </w:r>
            <w:r w:rsidR="00DA6805">
              <w:t>;</w:t>
            </w:r>
          </w:p>
          <w:p w14:paraId="11C1CC11" w14:textId="77777777" w:rsidR="00283385" w:rsidRPr="00450989" w:rsidRDefault="00E67F43" w:rsidP="00450989">
            <w:pPr>
              <w:pStyle w:val="CZWSPP1wTABELIczwsppoziomu1numeracjiwtabeli"/>
            </w:pPr>
            <w:r>
              <w:t>10)</w:t>
            </w:r>
            <w:r w:rsidR="00283385" w:rsidRPr="00450989">
              <w:t xml:space="preserve"> Tularemia</w:t>
            </w:r>
            <w:r w:rsidR="00DA6805">
              <w:t>;</w:t>
            </w:r>
          </w:p>
          <w:p w14:paraId="52BE56B5" w14:textId="77777777" w:rsidR="00283385" w:rsidRPr="00450989" w:rsidRDefault="00E67F43" w:rsidP="00450989">
            <w:pPr>
              <w:pStyle w:val="CZWSPP1wTABELIczwsppoziomu1numeracjiwtabeli"/>
            </w:pPr>
            <w:r>
              <w:t>11)</w:t>
            </w:r>
            <w:r w:rsidR="00283385" w:rsidRPr="00450989">
              <w:t xml:space="preserve"> Gorączka Q - osoby cierpiące na postać przewlekłą gorączki Q</w:t>
            </w:r>
            <w:r w:rsidR="00283385">
              <w:t>.</w:t>
            </w:r>
          </w:p>
        </w:tc>
      </w:tr>
      <w:tr w:rsidR="00283385" w14:paraId="19DFBE98" w14:textId="77777777" w:rsidTr="00283385">
        <w:tc>
          <w:tcPr>
            <w:tcW w:w="534" w:type="dxa"/>
            <w:tcBorders>
              <w:top w:val="single" w:sz="4" w:space="0" w:color="auto"/>
              <w:left w:val="single" w:sz="4" w:space="0" w:color="auto"/>
              <w:bottom w:val="single" w:sz="4" w:space="0" w:color="auto"/>
              <w:right w:val="single" w:sz="4" w:space="0" w:color="auto"/>
            </w:tcBorders>
          </w:tcPr>
          <w:p w14:paraId="0D668137" w14:textId="77777777" w:rsidR="00283385" w:rsidRPr="00450989" w:rsidRDefault="00283385" w:rsidP="00450989">
            <w:pPr>
              <w:pStyle w:val="CZWSPP1wTABELIczwsppoziomu1numeracjiwtabeli"/>
            </w:pPr>
            <w:r>
              <w:t>16.</w:t>
            </w:r>
          </w:p>
        </w:tc>
        <w:tc>
          <w:tcPr>
            <w:tcW w:w="4639" w:type="dxa"/>
            <w:tcBorders>
              <w:top w:val="single" w:sz="4" w:space="0" w:color="auto"/>
              <w:left w:val="single" w:sz="4" w:space="0" w:color="auto"/>
              <w:bottom w:val="single" w:sz="4" w:space="0" w:color="auto"/>
              <w:right w:val="single" w:sz="4" w:space="0" w:color="auto"/>
            </w:tcBorders>
            <w:hideMark/>
          </w:tcPr>
          <w:p w14:paraId="3077D08E" w14:textId="77777777" w:rsidR="00283385" w:rsidRPr="00450989" w:rsidRDefault="00283385" w:rsidP="00450989">
            <w:pPr>
              <w:pStyle w:val="CZWSPP1wTABELIczwsppoziomu1numeracjiwtabeli"/>
            </w:pPr>
            <w:r w:rsidRPr="00450989">
              <w:t xml:space="preserve">Gąbczaste zwyrodnienie mózgu (TSE) (np. choroba </w:t>
            </w:r>
            <w:proofErr w:type="spellStart"/>
            <w:r w:rsidRPr="00450989">
              <w:t>Creutzfeldta</w:t>
            </w:r>
            <w:proofErr w:type="spellEnd"/>
            <w:r w:rsidRPr="00450989">
              <w:t xml:space="preserve">-Jakoba, wariant choroby </w:t>
            </w:r>
            <w:proofErr w:type="spellStart"/>
            <w:r w:rsidRPr="00450989">
              <w:t>Creutzfeldta</w:t>
            </w:r>
            <w:proofErr w:type="spellEnd"/>
            <w:r w:rsidRPr="00450989">
              <w:t>-Jakoba)</w:t>
            </w:r>
          </w:p>
        </w:tc>
        <w:tc>
          <w:tcPr>
            <w:tcW w:w="4097" w:type="dxa"/>
            <w:tcBorders>
              <w:top w:val="single" w:sz="4" w:space="0" w:color="auto"/>
              <w:left w:val="single" w:sz="4" w:space="0" w:color="auto"/>
              <w:bottom w:val="single" w:sz="4" w:space="0" w:color="auto"/>
              <w:right w:val="single" w:sz="4" w:space="0" w:color="auto"/>
            </w:tcBorders>
            <w:hideMark/>
          </w:tcPr>
          <w:p w14:paraId="7F88AC8D" w14:textId="77777777" w:rsidR="000A122C" w:rsidRDefault="000A122C" w:rsidP="00450989">
            <w:pPr>
              <w:pStyle w:val="CZWSPP1wTABELIczwsppoziomu1numeracjiwtabeli"/>
            </w:pPr>
            <w:r w:rsidRPr="000A122C">
              <w:t>Kandydaci na dawców krwi albo dawcy krwi</w:t>
            </w:r>
            <w:r>
              <w:t xml:space="preserve">: </w:t>
            </w:r>
          </w:p>
          <w:p w14:paraId="39509CAD" w14:textId="77777777" w:rsidR="00283385" w:rsidRPr="00450989" w:rsidRDefault="00283385" w:rsidP="00450989">
            <w:pPr>
              <w:pStyle w:val="CZWSPP1wTABELIczwsppoziomu1numeracjiwtabeli"/>
            </w:pPr>
            <w:r>
              <w:t>1)</w:t>
            </w:r>
            <w:r w:rsidR="00305BF4">
              <w:t xml:space="preserve"> u</w:t>
            </w:r>
            <w:r>
              <w:t xml:space="preserve"> </w:t>
            </w:r>
            <w:r w:rsidRPr="00450989">
              <w:t>któr</w:t>
            </w:r>
            <w:r w:rsidR="00DA6805">
              <w:t>ych</w:t>
            </w:r>
            <w:r w:rsidRPr="00450989">
              <w:t xml:space="preserve"> wywiad </w:t>
            </w:r>
            <w:r>
              <w:t xml:space="preserve">medyczny </w:t>
            </w:r>
            <w:r w:rsidRPr="00450989">
              <w:t>wskazuje na zagrożenie TSE</w:t>
            </w:r>
            <w:r w:rsidR="00C87F3A">
              <w:t xml:space="preserve"> oraz</w:t>
            </w:r>
            <w:r w:rsidRPr="00450989">
              <w:t>, u których wykonano w przeszłości przeszczep rogówki lub opony twardej albo były leczone preparatami uzyskanymi z ludzkich przysadek</w:t>
            </w:r>
            <w:r>
              <w:t>;</w:t>
            </w:r>
          </w:p>
          <w:p w14:paraId="649771A3" w14:textId="77777777" w:rsidR="00283385" w:rsidRPr="00450989" w:rsidRDefault="00283385" w:rsidP="00450989">
            <w:pPr>
              <w:pStyle w:val="CZWSPP1wTABELIczwsppoziomu1numeracjiwtabeli"/>
            </w:pPr>
            <w:r>
              <w:t xml:space="preserve">2) </w:t>
            </w:r>
            <w:r w:rsidRPr="00450989">
              <w:t>przebywając</w:t>
            </w:r>
            <w:r w:rsidR="000A122C">
              <w:t>y</w:t>
            </w:r>
            <w:r w:rsidRPr="00450989">
              <w:t xml:space="preserve"> łącznie przez 6 miesięcy lub dłużej </w:t>
            </w:r>
            <w:r>
              <w:t>na terytorium</w:t>
            </w:r>
            <w:r w:rsidRPr="00450989">
              <w:t xml:space="preserve"> </w:t>
            </w:r>
            <w:r>
              <w:t xml:space="preserve">Zjednoczonego Królestwa </w:t>
            </w:r>
            <w:r w:rsidRPr="00450989">
              <w:t>Wielkiej Brytanii</w:t>
            </w:r>
            <w:r>
              <w:t xml:space="preserve"> i Irlandii Północnej</w:t>
            </w:r>
            <w:r w:rsidRPr="00450989">
              <w:t xml:space="preserve">, </w:t>
            </w:r>
            <w:r>
              <w:t xml:space="preserve">Republiki </w:t>
            </w:r>
            <w:r w:rsidRPr="00450989">
              <w:t>Franc</w:t>
            </w:r>
            <w:r>
              <w:t>uskiej</w:t>
            </w:r>
            <w:r w:rsidRPr="00450989">
              <w:t xml:space="preserve"> lub Irlandii w okresie od </w:t>
            </w:r>
            <w:r>
              <w:t xml:space="preserve">dnia 1 stycznia </w:t>
            </w:r>
            <w:r w:rsidRPr="00450989">
              <w:t xml:space="preserve">1980 r. do </w:t>
            </w:r>
            <w:r>
              <w:t xml:space="preserve">dnia </w:t>
            </w:r>
            <w:r w:rsidRPr="00450989">
              <w:t>31</w:t>
            </w:r>
            <w:r>
              <w:t xml:space="preserve"> grudnia </w:t>
            </w:r>
            <w:r w:rsidRPr="00450989">
              <w:t>1996 r.</w:t>
            </w:r>
            <w:r>
              <w:t>;</w:t>
            </w:r>
          </w:p>
          <w:p w14:paraId="20EF5D6C" w14:textId="2ACE12E2" w:rsidR="00283385" w:rsidRPr="00450989" w:rsidRDefault="00283385" w:rsidP="00C815FB">
            <w:pPr>
              <w:pStyle w:val="CZWSPP1wTABELIczwsppoziomu1numeracjiwtabeli"/>
            </w:pPr>
            <w:r>
              <w:lastRenderedPageBreak/>
              <w:t xml:space="preserve">3) </w:t>
            </w:r>
            <w:r w:rsidR="00C815FB">
              <w:t>którym</w:t>
            </w:r>
            <w:r w:rsidR="00C815FB" w:rsidRPr="00450989">
              <w:t xml:space="preserve"> </w:t>
            </w:r>
            <w:r w:rsidRPr="00450989">
              <w:t xml:space="preserve">po </w:t>
            </w:r>
            <w:r>
              <w:t xml:space="preserve">dniu 1 stycznia </w:t>
            </w:r>
            <w:r w:rsidRPr="00450989">
              <w:t>1980 r. przetoczono krew lub jej składniki na ter</w:t>
            </w:r>
            <w:r>
              <w:t>ytorium</w:t>
            </w:r>
            <w:r w:rsidRPr="00450989">
              <w:t xml:space="preserve"> </w:t>
            </w:r>
            <w:r>
              <w:t>Zjednoczonego Królestwa Wielkiej Brytanii i Irlandii Północnej</w:t>
            </w:r>
            <w:r w:rsidRPr="00450989">
              <w:t xml:space="preserve">, </w:t>
            </w:r>
            <w:r>
              <w:t xml:space="preserve">Republiki </w:t>
            </w:r>
            <w:r w:rsidRPr="00450989">
              <w:t>Franc</w:t>
            </w:r>
            <w:r>
              <w:t>uskiej</w:t>
            </w:r>
            <w:r w:rsidRPr="00450989">
              <w:t xml:space="preserve"> lub Irlandii</w:t>
            </w:r>
            <w:r>
              <w:t>.</w:t>
            </w:r>
          </w:p>
        </w:tc>
      </w:tr>
      <w:tr w:rsidR="00283385" w14:paraId="2619B946" w14:textId="77777777" w:rsidTr="00283385">
        <w:tc>
          <w:tcPr>
            <w:tcW w:w="534" w:type="dxa"/>
            <w:tcBorders>
              <w:top w:val="single" w:sz="4" w:space="0" w:color="auto"/>
              <w:left w:val="single" w:sz="4" w:space="0" w:color="auto"/>
              <w:bottom w:val="single" w:sz="4" w:space="0" w:color="auto"/>
              <w:right w:val="single" w:sz="4" w:space="0" w:color="auto"/>
            </w:tcBorders>
          </w:tcPr>
          <w:p w14:paraId="379F9633" w14:textId="77777777" w:rsidR="00283385" w:rsidRPr="00450989" w:rsidRDefault="00283385" w:rsidP="00450989">
            <w:pPr>
              <w:pStyle w:val="CZWSPP1wTABELIczwsppoziomu1numeracjiwtabeli"/>
            </w:pPr>
            <w:r>
              <w:lastRenderedPageBreak/>
              <w:t>17.</w:t>
            </w:r>
          </w:p>
        </w:tc>
        <w:tc>
          <w:tcPr>
            <w:tcW w:w="4639" w:type="dxa"/>
            <w:tcBorders>
              <w:top w:val="single" w:sz="4" w:space="0" w:color="auto"/>
              <w:left w:val="single" w:sz="4" w:space="0" w:color="auto"/>
              <w:bottom w:val="single" w:sz="4" w:space="0" w:color="auto"/>
              <w:right w:val="single" w:sz="4" w:space="0" w:color="auto"/>
            </w:tcBorders>
            <w:hideMark/>
          </w:tcPr>
          <w:p w14:paraId="0051F939" w14:textId="77777777" w:rsidR="00283385" w:rsidRPr="00450989" w:rsidRDefault="00283385" w:rsidP="00450989">
            <w:pPr>
              <w:pStyle w:val="CZWSPP1wTABELIczwsppoziomu1numeracjiwtabeli"/>
            </w:pPr>
            <w:r w:rsidRPr="00450989">
              <w:t>Kiła</w:t>
            </w:r>
          </w:p>
        </w:tc>
        <w:tc>
          <w:tcPr>
            <w:tcW w:w="4097" w:type="dxa"/>
            <w:tcBorders>
              <w:top w:val="single" w:sz="4" w:space="0" w:color="auto"/>
              <w:left w:val="single" w:sz="4" w:space="0" w:color="auto"/>
              <w:bottom w:val="single" w:sz="4" w:space="0" w:color="auto"/>
              <w:right w:val="single" w:sz="4" w:space="0" w:color="auto"/>
            </w:tcBorders>
          </w:tcPr>
          <w:p w14:paraId="63D2B940" w14:textId="77777777" w:rsidR="00283385" w:rsidRPr="00450989" w:rsidRDefault="00283385" w:rsidP="00450989">
            <w:pPr>
              <w:pStyle w:val="CZWSPP1wTABELIczwsppoziomu1numeracjiwtabeli"/>
            </w:pPr>
          </w:p>
        </w:tc>
      </w:tr>
      <w:tr w:rsidR="00283385" w14:paraId="1D8BADDF" w14:textId="77777777" w:rsidTr="00283385">
        <w:tc>
          <w:tcPr>
            <w:tcW w:w="534" w:type="dxa"/>
            <w:tcBorders>
              <w:top w:val="single" w:sz="4" w:space="0" w:color="auto"/>
              <w:left w:val="single" w:sz="4" w:space="0" w:color="auto"/>
              <w:bottom w:val="single" w:sz="4" w:space="0" w:color="auto"/>
              <w:right w:val="single" w:sz="4" w:space="0" w:color="auto"/>
            </w:tcBorders>
          </w:tcPr>
          <w:p w14:paraId="43E57F4E" w14:textId="77777777" w:rsidR="00283385" w:rsidRPr="00450989" w:rsidRDefault="00283385" w:rsidP="00450989">
            <w:pPr>
              <w:pStyle w:val="CZWSPP1wTABELIczwsppoziomu1numeracjiwtabeli"/>
            </w:pPr>
            <w:r>
              <w:t>18.</w:t>
            </w:r>
          </w:p>
        </w:tc>
        <w:tc>
          <w:tcPr>
            <w:tcW w:w="4639" w:type="dxa"/>
            <w:tcBorders>
              <w:top w:val="single" w:sz="4" w:space="0" w:color="auto"/>
              <w:left w:val="single" w:sz="4" w:space="0" w:color="auto"/>
              <w:bottom w:val="single" w:sz="4" w:space="0" w:color="auto"/>
              <w:right w:val="single" w:sz="4" w:space="0" w:color="auto"/>
            </w:tcBorders>
            <w:hideMark/>
          </w:tcPr>
          <w:p w14:paraId="5651BB1C" w14:textId="77777777" w:rsidR="00283385" w:rsidRPr="00450989" w:rsidRDefault="00283385" w:rsidP="00450989">
            <w:pPr>
              <w:pStyle w:val="CZWSPP1wTABELIczwsppoziomu1numeracjiwtabeli"/>
            </w:pPr>
            <w:r w:rsidRPr="00450989">
              <w:t>Leki stosowane domięśniowo lub dożylnie</w:t>
            </w:r>
          </w:p>
        </w:tc>
        <w:tc>
          <w:tcPr>
            <w:tcW w:w="4097" w:type="dxa"/>
            <w:tcBorders>
              <w:top w:val="single" w:sz="4" w:space="0" w:color="auto"/>
              <w:left w:val="single" w:sz="4" w:space="0" w:color="auto"/>
              <w:bottom w:val="single" w:sz="4" w:space="0" w:color="auto"/>
              <w:right w:val="single" w:sz="4" w:space="0" w:color="auto"/>
            </w:tcBorders>
            <w:hideMark/>
          </w:tcPr>
          <w:p w14:paraId="188410F8" w14:textId="77777777" w:rsidR="00283385" w:rsidRPr="00450989" w:rsidRDefault="00283385" w:rsidP="00201B46">
            <w:pPr>
              <w:pStyle w:val="CZWSPP1wTABELIczwsppoziomu1numeracjiwtabeli"/>
            </w:pPr>
            <w:r w:rsidRPr="00450989">
              <w:t xml:space="preserve">Każdy przypadek stosowania </w:t>
            </w:r>
            <w:r w:rsidR="00201B46">
              <w:t xml:space="preserve">w postaci zastrzyków </w:t>
            </w:r>
            <w:r>
              <w:t xml:space="preserve">produktów </w:t>
            </w:r>
            <w:r w:rsidR="000A122C">
              <w:t>leczniczych</w:t>
            </w:r>
            <w:r>
              <w:t>,</w:t>
            </w:r>
            <w:r w:rsidR="000A122C">
              <w:t xml:space="preserve"> </w:t>
            </w:r>
            <w:r w:rsidRPr="00450989">
              <w:t>które nie zostały przepisane przez lekarza</w:t>
            </w:r>
            <w:r>
              <w:t>.</w:t>
            </w:r>
          </w:p>
        </w:tc>
      </w:tr>
      <w:tr w:rsidR="00283385" w14:paraId="37F61E5F" w14:textId="77777777" w:rsidTr="00283385">
        <w:tc>
          <w:tcPr>
            <w:tcW w:w="534" w:type="dxa"/>
            <w:tcBorders>
              <w:top w:val="single" w:sz="4" w:space="0" w:color="auto"/>
              <w:left w:val="single" w:sz="4" w:space="0" w:color="auto"/>
              <w:bottom w:val="single" w:sz="4" w:space="0" w:color="auto"/>
              <w:right w:val="single" w:sz="4" w:space="0" w:color="auto"/>
            </w:tcBorders>
          </w:tcPr>
          <w:p w14:paraId="129A0B32" w14:textId="77777777" w:rsidR="00283385" w:rsidRPr="00450989" w:rsidRDefault="00283385" w:rsidP="00450989">
            <w:pPr>
              <w:pStyle w:val="CZWSPP1wTABELIczwsppoziomu1numeracjiwtabeli"/>
            </w:pPr>
            <w:r>
              <w:t xml:space="preserve">19. </w:t>
            </w:r>
          </w:p>
        </w:tc>
        <w:tc>
          <w:tcPr>
            <w:tcW w:w="4639" w:type="dxa"/>
            <w:tcBorders>
              <w:top w:val="single" w:sz="4" w:space="0" w:color="auto"/>
              <w:left w:val="single" w:sz="4" w:space="0" w:color="auto"/>
              <w:bottom w:val="single" w:sz="4" w:space="0" w:color="auto"/>
              <w:right w:val="single" w:sz="4" w:space="0" w:color="auto"/>
            </w:tcBorders>
            <w:hideMark/>
          </w:tcPr>
          <w:p w14:paraId="3AAC4612" w14:textId="77777777" w:rsidR="00283385" w:rsidRPr="00450989" w:rsidRDefault="00283385" w:rsidP="00450989">
            <w:pPr>
              <w:pStyle w:val="CZWSPP1wTABELIczwsppoziomu1numeracjiwtabeli"/>
            </w:pPr>
            <w:r w:rsidRPr="00450989">
              <w:t>Zachowania seksualne</w:t>
            </w:r>
          </w:p>
        </w:tc>
        <w:tc>
          <w:tcPr>
            <w:tcW w:w="4097" w:type="dxa"/>
            <w:tcBorders>
              <w:top w:val="single" w:sz="4" w:space="0" w:color="auto"/>
              <w:left w:val="single" w:sz="4" w:space="0" w:color="auto"/>
              <w:bottom w:val="single" w:sz="4" w:space="0" w:color="auto"/>
              <w:right w:val="single" w:sz="4" w:space="0" w:color="auto"/>
            </w:tcBorders>
            <w:hideMark/>
          </w:tcPr>
          <w:p w14:paraId="7E08F042" w14:textId="77777777" w:rsidR="00283385" w:rsidRPr="00450989" w:rsidRDefault="000A122C" w:rsidP="000A122C">
            <w:pPr>
              <w:pStyle w:val="CZWSPP1wTABELIczwsppoziomu1numeracjiwtabeli"/>
            </w:pPr>
            <w:r w:rsidRPr="000A122C">
              <w:t>Kandydaci na dawców krwi albo dawcy krwi</w:t>
            </w:r>
            <w:r w:rsidR="00A66489">
              <w:t>,</w:t>
            </w:r>
            <w:r>
              <w:t xml:space="preserve"> którzy</w:t>
            </w:r>
            <w:r w:rsidR="00283385" w:rsidRPr="00450989">
              <w:t xml:space="preserve"> ze względu na swoje zachowania seksualne należą do grup podwyższonego ryzyka zakażenia poważnymi chorobami, mogącymi przenosić się drogą przetoczenia krwi</w:t>
            </w:r>
            <w:r w:rsidR="00283385">
              <w:t>.</w:t>
            </w:r>
          </w:p>
        </w:tc>
      </w:tr>
      <w:tr w:rsidR="00283385" w14:paraId="47DDC474" w14:textId="77777777" w:rsidTr="00283385">
        <w:tc>
          <w:tcPr>
            <w:tcW w:w="534" w:type="dxa"/>
            <w:tcBorders>
              <w:top w:val="single" w:sz="4" w:space="0" w:color="auto"/>
              <w:left w:val="single" w:sz="4" w:space="0" w:color="auto"/>
              <w:bottom w:val="single" w:sz="4" w:space="0" w:color="auto"/>
              <w:right w:val="single" w:sz="4" w:space="0" w:color="auto"/>
            </w:tcBorders>
          </w:tcPr>
          <w:p w14:paraId="77F7E8DE" w14:textId="77777777" w:rsidR="00283385" w:rsidRPr="00450989" w:rsidRDefault="00283385" w:rsidP="00450989">
            <w:pPr>
              <w:pStyle w:val="CZWSPP1wTABELIczwsppoziomu1numeracjiwtabeli"/>
            </w:pPr>
            <w:r>
              <w:t>20</w:t>
            </w:r>
          </w:p>
        </w:tc>
        <w:tc>
          <w:tcPr>
            <w:tcW w:w="4639" w:type="dxa"/>
            <w:tcBorders>
              <w:top w:val="single" w:sz="4" w:space="0" w:color="auto"/>
              <w:left w:val="single" w:sz="4" w:space="0" w:color="auto"/>
              <w:bottom w:val="single" w:sz="4" w:space="0" w:color="auto"/>
              <w:right w:val="single" w:sz="4" w:space="0" w:color="auto"/>
            </w:tcBorders>
            <w:hideMark/>
          </w:tcPr>
          <w:p w14:paraId="7CAD7BFD" w14:textId="77777777" w:rsidR="00283385" w:rsidRPr="00450989" w:rsidRDefault="00283385" w:rsidP="00450989">
            <w:pPr>
              <w:pStyle w:val="CZWSPP1wTABELIczwsppoziomu1numeracjiwtabeli"/>
            </w:pPr>
            <w:r w:rsidRPr="00450989">
              <w:t>Zaburzenia psychiczne i zaburzenia zachowania spowodowane używaniem środków (substancji) psychoaktywnych</w:t>
            </w:r>
          </w:p>
        </w:tc>
        <w:tc>
          <w:tcPr>
            <w:tcW w:w="4097" w:type="dxa"/>
            <w:tcBorders>
              <w:top w:val="single" w:sz="4" w:space="0" w:color="auto"/>
              <w:left w:val="single" w:sz="4" w:space="0" w:color="auto"/>
              <w:bottom w:val="single" w:sz="4" w:space="0" w:color="auto"/>
              <w:right w:val="single" w:sz="4" w:space="0" w:color="auto"/>
            </w:tcBorders>
          </w:tcPr>
          <w:p w14:paraId="267A961E" w14:textId="77777777" w:rsidR="00283385" w:rsidRPr="00450989" w:rsidRDefault="00283385" w:rsidP="00450989">
            <w:pPr>
              <w:pStyle w:val="CZWSPP1wTABELIczwsppoziomu1numeracjiwtabeli"/>
            </w:pPr>
          </w:p>
        </w:tc>
      </w:tr>
      <w:tr w:rsidR="00283385" w14:paraId="2AA963F7" w14:textId="77777777" w:rsidTr="00283385">
        <w:tc>
          <w:tcPr>
            <w:tcW w:w="534" w:type="dxa"/>
            <w:tcBorders>
              <w:top w:val="single" w:sz="4" w:space="0" w:color="auto"/>
              <w:left w:val="single" w:sz="4" w:space="0" w:color="auto"/>
              <w:bottom w:val="single" w:sz="4" w:space="0" w:color="auto"/>
              <w:right w:val="single" w:sz="4" w:space="0" w:color="auto"/>
            </w:tcBorders>
          </w:tcPr>
          <w:p w14:paraId="21C681E4" w14:textId="77777777" w:rsidR="00283385" w:rsidRPr="00450989" w:rsidRDefault="00283385" w:rsidP="00450989">
            <w:pPr>
              <w:pStyle w:val="CZWSPP1wTABELIczwsppoziomu1numeracjiwtabeli"/>
            </w:pPr>
            <w:r>
              <w:t xml:space="preserve">21. </w:t>
            </w:r>
          </w:p>
        </w:tc>
        <w:tc>
          <w:tcPr>
            <w:tcW w:w="4639" w:type="dxa"/>
            <w:tcBorders>
              <w:top w:val="single" w:sz="4" w:space="0" w:color="auto"/>
              <w:left w:val="single" w:sz="4" w:space="0" w:color="auto"/>
              <w:bottom w:val="single" w:sz="4" w:space="0" w:color="auto"/>
              <w:right w:val="single" w:sz="4" w:space="0" w:color="auto"/>
            </w:tcBorders>
            <w:hideMark/>
          </w:tcPr>
          <w:p w14:paraId="5771C2F2" w14:textId="77777777" w:rsidR="00283385" w:rsidRPr="00450989" w:rsidRDefault="00283385" w:rsidP="00450989">
            <w:pPr>
              <w:pStyle w:val="CZWSPP1wTABELIczwsppoziomu1numeracjiwtabeli"/>
            </w:pPr>
            <w:r w:rsidRPr="00450989">
              <w:t>Biorcy ksenoprzeszczepów</w:t>
            </w:r>
          </w:p>
        </w:tc>
        <w:tc>
          <w:tcPr>
            <w:tcW w:w="4097" w:type="dxa"/>
            <w:tcBorders>
              <w:top w:val="single" w:sz="4" w:space="0" w:color="auto"/>
              <w:left w:val="single" w:sz="4" w:space="0" w:color="auto"/>
              <w:bottom w:val="single" w:sz="4" w:space="0" w:color="auto"/>
              <w:right w:val="single" w:sz="4" w:space="0" w:color="auto"/>
            </w:tcBorders>
          </w:tcPr>
          <w:p w14:paraId="4250A3D1" w14:textId="77777777" w:rsidR="00283385" w:rsidRPr="00450989" w:rsidRDefault="00283385" w:rsidP="00450989">
            <w:pPr>
              <w:pStyle w:val="CZWSPP1wTABELIczwsppoziomu1numeracjiwtabeli"/>
            </w:pPr>
          </w:p>
        </w:tc>
      </w:tr>
      <w:tr w:rsidR="00283385" w14:paraId="1FE8429F" w14:textId="77777777" w:rsidTr="00283385">
        <w:tc>
          <w:tcPr>
            <w:tcW w:w="534" w:type="dxa"/>
            <w:tcBorders>
              <w:top w:val="single" w:sz="4" w:space="0" w:color="auto"/>
              <w:left w:val="single" w:sz="4" w:space="0" w:color="auto"/>
              <w:bottom w:val="single" w:sz="4" w:space="0" w:color="auto"/>
              <w:right w:val="single" w:sz="4" w:space="0" w:color="auto"/>
            </w:tcBorders>
          </w:tcPr>
          <w:p w14:paraId="3F6CC8CE" w14:textId="77777777" w:rsidR="00283385" w:rsidRPr="00450989" w:rsidRDefault="00283385" w:rsidP="00450989">
            <w:pPr>
              <w:pStyle w:val="CZWSPP1wTABELIczwsppoziomu1numeracjiwtabeli"/>
            </w:pPr>
            <w:r>
              <w:t>22.</w:t>
            </w:r>
          </w:p>
        </w:tc>
        <w:tc>
          <w:tcPr>
            <w:tcW w:w="4639" w:type="dxa"/>
            <w:tcBorders>
              <w:top w:val="single" w:sz="4" w:space="0" w:color="auto"/>
              <w:left w:val="single" w:sz="4" w:space="0" w:color="auto"/>
              <w:bottom w:val="single" w:sz="4" w:space="0" w:color="auto"/>
              <w:right w:val="single" w:sz="4" w:space="0" w:color="auto"/>
            </w:tcBorders>
            <w:hideMark/>
          </w:tcPr>
          <w:p w14:paraId="4B606B04" w14:textId="77777777" w:rsidR="00283385" w:rsidRPr="00450989" w:rsidRDefault="00283385" w:rsidP="00450989">
            <w:pPr>
              <w:pStyle w:val="CZWSPP1wTABELIczwsppoziomu1numeracjiwtabeli"/>
            </w:pPr>
            <w:r w:rsidRPr="00450989">
              <w:t>Reakcja anafilaktyczna</w:t>
            </w:r>
          </w:p>
        </w:tc>
        <w:tc>
          <w:tcPr>
            <w:tcW w:w="4097" w:type="dxa"/>
            <w:tcBorders>
              <w:top w:val="single" w:sz="4" w:space="0" w:color="auto"/>
              <w:left w:val="single" w:sz="4" w:space="0" w:color="auto"/>
              <w:bottom w:val="single" w:sz="4" w:space="0" w:color="auto"/>
              <w:right w:val="single" w:sz="4" w:space="0" w:color="auto"/>
            </w:tcBorders>
            <w:hideMark/>
          </w:tcPr>
          <w:p w14:paraId="4CF64CAC" w14:textId="77777777" w:rsidR="00283385" w:rsidRPr="00450989" w:rsidRDefault="00283385" w:rsidP="00450989">
            <w:pPr>
              <w:pStyle w:val="CZWSPP1wTABELIczwsppoziomu1numeracjiwtabeli"/>
            </w:pPr>
            <w:r w:rsidRPr="00450989">
              <w:t>Każdy przypadek przebycia reakcji anafilaktycznej</w:t>
            </w:r>
            <w:r>
              <w:t>.</w:t>
            </w:r>
          </w:p>
        </w:tc>
      </w:tr>
    </w:tbl>
    <w:p w14:paraId="2C5082F6" w14:textId="77777777" w:rsidR="00264AE1" w:rsidRPr="00264AE1" w:rsidRDefault="00264AE1" w:rsidP="00264AE1"/>
    <w:p w14:paraId="27BCEFDC" w14:textId="77777777" w:rsidR="00264AE1" w:rsidRPr="00264AE1" w:rsidRDefault="00264AE1" w:rsidP="00450989">
      <w:pPr>
        <w:pStyle w:val="NIEARTTEKSTtekstnieartykuowanynppodstprawnarozplubpreambua"/>
      </w:pPr>
      <w:r w:rsidRPr="00264AE1">
        <w:t>2.2. Kryteria dyskwalifikacji tymczasowej dawców krwi allogenicznej</w:t>
      </w:r>
    </w:p>
    <w:p w14:paraId="164A9242" w14:textId="77777777" w:rsidR="00264AE1" w:rsidRPr="00264AE1" w:rsidRDefault="00264AE1" w:rsidP="00450989">
      <w:pPr>
        <w:pStyle w:val="NIEARTTEKSTtekstnieartykuowanynppodstprawnarozplubpreambua"/>
      </w:pPr>
      <w:r w:rsidRPr="00264AE1">
        <w:t>2.2.1 Choroby zakaźne</w:t>
      </w:r>
      <w:r w:rsidR="00450989">
        <w:t xml:space="preserve"> - c</w:t>
      </w:r>
      <w:r w:rsidRPr="00264AE1">
        <w:t>zas trwania dyskwalifikacji</w:t>
      </w:r>
    </w:p>
    <w:p w14:paraId="45D99E75" w14:textId="77777777" w:rsidR="00264AE1" w:rsidRPr="00264AE1" w:rsidRDefault="00264AE1" w:rsidP="00450989">
      <w:pPr>
        <w:pStyle w:val="NIEARTTEKSTtekstnieartykuowanynppodstprawnarozplubpreambua"/>
      </w:pPr>
      <w:r w:rsidRPr="00264AE1">
        <w:t xml:space="preserve">Po przebyciu choroby zakaźnej </w:t>
      </w:r>
      <w:r w:rsidR="000A122C">
        <w:t>k</w:t>
      </w:r>
      <w:r w:rsidR="000A122C" w:rsidRPr="000A122C">
        <w:t xml:space="preserve">andydaci na dawców krwi albo dawcy krwi </w:t>
      </w:r>
      <w:r w:rsidR="00B33DBF">
        <w:t>zostają</w:t>
      </w:r>
      <w:r w:rsidRPr="00264AE1">
        <w:t xml:space="preserve"> zdyskwalifikowani na co najmniej dwa tygodnie od dnia pełnego wyleczenia.</w:t>
      </w:r>
      <w:r w:rsidR="00492200">
        <w:t xml:space="preserve"> </w:t>
      </w:r>
    </w:p>
    <w:p w14:paraId="48A0B5FC" w14:textId="77777777" w:rsidR="00264AE1" w:rsidRPr="00264AE1" w:rsidRDefault="00264AE1" w:rsidP="00492200">
      <w:pPr>
        <w:pStyle w:val="NIEARTTEKSTtekstnieartykuowanynppodstprawnarozplubpreambua"/>
      </w:pPr>
      <w:r w:rsidRPr="00264AE1">
        <w:t>Jednak</w:t>
      </w:r>
      <w:r w:rsidR="00B33DBF">
        <w:t>,</w:t>
      </w:r>
      <w:r w:rsidRPr="00264AE1">
        <w:t xml:space="preserve"> w przypadku chorób wymienionych w poniższej tabeli </w:t>
      </w:r>
      <w:r w:rsidR="00B33DBF" w:rsidRPr="00264AE1">
        <w:t>stos</w:t>
      </w:r>
      <w:r w:rsidR="00B33DBF">
        <w:t>uje się</w:t>
      </w:r>
      <w:r w:rsidR="00B33DBF" w:rsidRPr="00264AE1">
        <w:t xml:space="preserve"> </w:t>
      </w:r>
      <w:r w:rsidRPr="00264AE1">
        <w:t>następujące okresy dyskwalifikacji: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4533"/>
        <w:gridCol w:w="4059"/>
      </w:tblGrid>
      <w:tr w:rsidR="000A122C" w14:paraId="3B452923" w14:textId="77777777" w:rsidTr="00764850">
        <w:tc>
          <w:tcPr>
            <w:tcW w:w="570" w:type="dxa"/>
            <w:tcBorders>
              <w:top w:val="single" w:sz="4" w:space="0" w:color="auto"/>
              <w:left w:val="single" w:sz="4" w:space="0" w:color="auto"/>
              <w:bottom w:val="single" w:sz="4" w:space="0" w:color="auto"/>
              <w:right w:val="single" w:sz="4" w:space="0" w:color="auto"/>
            </w:tcBorders>
          </w:tcPr>
          <w:p w14:paraId="58726953" w14:textId="77777777" w:rsidR="000A122C" w:rsidRPr="00450989" w:rsidRDefault="00764850" w:rsidP="00450989">
            <w:pPr>
              <w:pStyle w:val="TEKSTwTABELIWYRODKOWANYtekstwyrodkowanywpoziomie"/>
              <w:rPr>
                <w:rStyle w:val="Ppogrubienie"/>
              </w:rPr>
            </w:pPr>
            <w:r>
              <w:rPr>
                <w:rStyle w:val="Ppogrubienie"/>
              </w:rPr>
              <w:t xml:space="preserve">Lp. </w:t>
            </w:r>
          </w:p>
        </w:tc>
        <w:tc>
          <w:tcPr>
            <w:tcW w:w="4533" w:type="dxa"/>
            <w:tcBorders>
              <w:top w:val="single" w:sz="4" w:space="0" w:color="auto"/>
              <w:left w:val="single" w:sz="4" w:space="0" w:color="auto"/>
              <w:bottom w:val="single" w:sz="4" w:space="0" w:color="auto"/>
              <w:right w:val="single" w:sz="4" w:space="0" w:color="auto"/>
            </w:tcBorders>
            <w:hideMark/>
          </w:tcPr>
          <w:p w14:paraId="383F7AC2" w14:textId="77777777" w:rsidR="000A122C" w:rsidRPr="00450989" w:rsidRDefault="000A122C" w:rsidP="00450989">
            <w:pPr>
              <w:pStyle w:val="TEKSTwTABELIWYRODKOWANYtekstwyrodkowanywpoziomie"/>
              <w:rPr>
                <w:rStyle w:val="Ppogrubienie"/>
              </w:rPr>
            </w:pPr>
            <w:r w:rsidRPr="00450989">
              <w:rPr>
                <w:rStyle w:val="Ppogrubienie"/>
              </w:rPr>
              <w:t>Kryterium</w:t>
            </w:r>
          </w:p>
        </w:tc>
        <w:tc>
          <w:tcPr>
            <w:tcW w:w="4059" w:type="dxa"/>
            <w:tcBorders>
              <w:top w:val="single" w:sz="4" w:space="0" w:color="auto"/>
              <w:left w:val="single" w:sz="4" w:space="0" w:color="auto"/>
              <w:bottom w:val="single" w:sz="4" w:space="0" w:color="auto"/>
              <w:right w:val="single" w:sz="4" w:space="0" w:color="auto"/>
            </w:tcBorders>
            <w:hideMark/>
          </w:tcPr>
          <w:p w14:paraId="765523A3" w14:textId="77777777" w:rsidR="000A122C" w:rsidRPr="00450989" w:rsidRDefault="000A122C" w:rsidP="00450989">
            <w:pPr>
              <w:pStyle w:val="TEKSTwTABELIWYRODKOWANYtekstwyrodkowanywpoziomie"/>
              <w:rPr>
                <w:rStyle w:val="Ppogrubienie"/>
              </w:rPr>
            </w:pPr>
            <w:r w:rsidRPr="00450989">
              <w:rPr>
                <w:rStyle w:val="Ppogrubienie"/>
              </w:rPr>
              <w:t xml:space="preserve">Szczegółowy opis kryterium oraz warunki pobierania krwi od kandydata na dawcę krwi albo </w:t>
            </w:r>
            <w:r w:rsidRPr="00450989">
              <w:rPr>
                <w:rStyle w:val="Ppogrubienie"/>
              </w:rPr>
              <w:lastRenderedPageBreak/>
              <w:t>dawcy krwi</w:t>
            </w:r>
          </w:p>
        </w:tc>
      </w:tr>
      <w:tr w:rsidR="000A122C" w14:paraId="487BB7B5" w14:textId="77777777" w:rsidTr="00764850">
        <w:tc>
          <w:tcPr>
            <w:tcW w:w="570" w:type="dxa"/>
            <w:tcBorders>
              <w:top w:val="single" w:sz="4" w:space="0" w:color="auto"/>
              <w:left w:val="single" w:sz="4" w:space="0" w:color="auto"/>
              <w:bottom w:val="single" w:sz="4" w:space="0" w:color="auto"/>
              <w:right w:val="single" w:sz="4" w:space="0" w:color="auto"/>
            </w:tcBorders>
          </w:tcPr>
          <w:p w14:paraId="6748068B" w14:textId="77777777" w:rsidR="000A122C" w:rsidRPr="00264AE1" w:rsidRDefault="00764850" w:rsidP="001E388F">
            <w:pPr>
              <w:pStyle w:val="CZWSPP1wTABELIczwsppoziomu1numeracjiwtabeli"/>
            </w:pPr>
            <w:r>
              <w:lastRenderedPageBreak/>
              <w:t xml:space="preserve">1. </w:t>
            </w:r>
          </w:p>
        </w:tc>
        <w:tc>
          <w:tcPr>
            <w:tcW w:w="4533" w:type="dxa"/>
            <w:tcBorders>
              <w:top w:val="single" w:sz="4" w:space="0" w:color="auto"/>
              <w:left w:val="single" w:sz="4" w:space="0" w:color="auto"/>
              <w:bottom w:val="single" w:sz="4" w:space="0" w:color="auto"/>
              <w:right w:val="single" w:sz="4" w:space="0" w:color="auto"/>
            </w:tcBorders>
            <w:hideMark/>
          </w:tcPr>
          <w:p w14:paraId="512FF2BD" w14:textId="77777777" w:rsidR="000A122C" w:rsidRPr="00264AE1" w:rsidRDefault="000A122C" w:rsidP="001E388F">
            <w:pPr>
              <w:pStyle w:val="CZWSPP1wTABELIczwsppoziomu1numeracjiwtabeli"/>
            </w:pPr>
            <w:r w:rsidRPr="00264AE1">
              <w:t>Bruceloza</w:t>
            </w:r>
          </w:p>
        </w:tc>
        <w:tc>
          <w:tcPr>
            <w:tcW w:w="4059" w:type="dxa"/>
            <w:tcBorders>
              <w:top w:val="single" w:sz="4" w:space="0" w:color="auto"/>
              <w:left w:val="single" w:sz="4" w:space="0" w:color="auto"/>
              <w:bottom w:val="single" w:sz="4" w:space="0" w:color="auto"/>
              <w:right w:val="single" w:sz="4" w:space="0" w:color="auto"/>
            </w:tcBorders>
            <w:hideMark/>
          </w:tcPr>
          <w:p w14:paraId="37801A3F" w14:textId="77777777" w:rsidR="000A122C" w:rsidRPr="00264AE1" w:rsidRDefault="000A122C" w:rsidP="001E388F">
            <w:pPr>
              <w:pStyle w:val="CZWSPP1wTABELIczwsppoziomu1numeracjiwtabeli"/>
            </w:pPr>
            <w:r w:rsidRPr="00264AE1">
              <w:t>2 lata od dnia pełnego wyzdrowienia</w:t>
            </w:r>
            <w:r w:rsidR="00DA6805">
              <w:t>.</w:t>
            </w:r>
          </w:p>
        </w:tc>
      </w:tr>
      <w:tr w:rsidR="000A122C" w14:paraId="3E6FDAD4" w14:textId="77777777" w:rsidTr="00764850">
        <w:tc>
          <w:tcPr>
            <w:tcW w:w="570" w:type="dxa"/>
            <w:tcBorders>
              <w:top w:val="single" w:sz="4" w:space="0" w:color="auto"/>
              <w:left w:val="single" w:sz="4" w:space="0" w:color="auto"/>
              <w:bottom w:val="single" w:sz="4" w:space="0" w:color="auto"/>
              <w:right w:val="single" w:sz="4" w:space="0" w:color="auto"/>
            </w:tcBorders>
          </w:tcPr>
          <w:p w14:paraId="4D4365E8" w14:textId="77777777" w:rsidR="000A122C" w:rsidRPr="00264AE1" w:rsidRDefault="00764850" w:rsidP="001E388F">
            <w:pPr>
              <w:pStyle w:val="CZWSPP1wTABELIczwsppoziomu1numeracjiwtabeli"/>
            </w:pPr>
            <w:r>
              <w:t>2.</w:t>
            </w:r>
          </w:p>
        </w:tc>
        <w:tc>
          <w:tcPr>
            <w:tcW w:w="4533" w:type="dxa"/>
            <w:tcBorders>
              <w:top w:val="single" w:sz="4" w:space="0" w:color="auto"/>
              <w:left w:val="single" w:sz="4" w:space="0" w:color="auto"/>
              <w:bottom w:val="single" w:sz="4" w:space="0" w:color="auto"/>
              <w:right w:val="single" w:sz="4" w:space="0" w:color="auto"/>
            </w:tcBorders>
            <w:hideMark/>
          </w:tcPr>
          <w:p w14:paraId="2DA9563D" w14:textId="77777777" w:rsidR="000A122C" w:rsidRPr="00264AE1" w:rsidRDefault="000A122C" w:rsidP="001E388F">
            <w:pPr>
              <w:pStyle w:val="CZWSPP1wTABELIczwsppoziomu1numeracjiwtabeli"/>
            </w:pPr>
            <w:r w:rsidRPr="00264AE1">
              <w:t>Gorączka Q</w:t>
            </w:r>
          </w:p>
        </w:tc>
        <w:tc>
          <w:tcPr>
            <w:tcW w:w="4059" w:type="dxa"/>
            <w:tcBorders>
              <w:top w:val="single" w:sz="4" w:space="0" w:color="auto"/>
              <w:left w:val="single" w:sz="4" w:space="0" w:color="auto"/>
              <w:bottom w:val="single" w:sz="4" w:space="0" w:color="auto"/>
              <w:right w:val="single" w:sz="4" w:space="0" w:color="auto"/>
            </w:tcBorders>
            <w:hideMark/>
          </w:tcPr>
          <w:p w14:paraId="545E3DA6" w14:textId="77777777" w:rsidR="000A122C" w:rsidRPr="00264AE1" w:rsidRDefault="000A122C" w:rsidP="001E388F">
            <w:pPr>
              <w:pStyle w:val="CZWSPP1wTABELIczwsppoziomu1numeracjiwtabeli"/>
            </w:pPr>
            <w:r w:rsidRPr="00264AE1">
              <w:t>2 lata od dnia potwierdzonego wyleczenia</w:t>
            </w:r>
            <w:r w:rsidR="00DA6805">
              <w:t>.</w:t>
            </w:r>
          </w:p>
        </w:tc>
      </w:tr>
      <w:tr w:rsidR="000A122C" w14:paraId="2D7340F3" w14:textId="77777777" w:rsidTr="00764850">
        <w:tc>
          <w:tcPr>
            <w:tcW w:w="570" w:type="dxa"/>
            <w:tcBorders>
              <w:top w:val="single" w:sz="4" w:space="0" w:color="auto"/>
              <w:left w:val="single" w:sz="4" w:space="0" w:color="auto"/>
              <w:bottom w:val="single" w:sz="4" w:space="0" w:color="auto"/>
              <w:right w:val="single" w:sz="4" w:space="0" w:color="auto"/>
            </w:tcBorders>
          </w:tcPr>
          <w:p w14:paraId="642AC277" w14:textId="77777777" w:rsidR="000A122C" w:rsidRPr="00264AE1" w:rsidRDefault="00764850" w:rsidP="001E388F">
            <w:pPr>
              <w:pStyle w:val="CZWSPP1wTABELIczwsppoziomu1numeracjiwtabeli"/>
            </w:pPr>
            <w:r>
              <w:t>3.</w:t>
            </w:r>
          </w:p>
        </w:tc>
        <w:tc>
          <w:tcPr>
            <w:tcW w:w="4533" w:type="dxa"/>
            <w:tcBorders>
              <w:top w:val="single" w:sz="4" w:space="0" w:color="auto"/>
              <w:left w:val="single" w:sz="4" w:space="0" w:color="auto"/>
              <w:bottom w:val="single" w:sz="4" w:space="0" w:color="auto"/>
              <w:right w:val="single" w:sz="4" w:space="0" w:color="auto"/>
            </w:tcBorders>
            <w:hideMark/>
          </w:tcPr>
          <w:p w14:paraId="57734C0F" w14:textId="77777777" w:rsidR="000A122C" w:rsidRPr="00264AE1" w:rsidRDefault="000A122C" w:rsidP="001E388F">
            <w:pPr>
              <w:pStyle w:val="CZWSPP1wTABELIczwsppoziomu1numeracjiwtabeli"/>
            </w:pPr>
            <w:r w:rsidRPr="00264AE1">
              <w:t>Toksoplazmoza</w:t>
            </w:r>
          </w:p>
        </w:tc>
        <w:tc>
          <w:tcPr>
            <w:tcW w:w="4059" w:type="dxa"/>
            <w:tcBorders>
              <w:top w:val="single" w:sz="4" w:space="0" w:color="auto"/>
              <w:left w:val="single" w:sz="4" w:space="0" w:color="auto"/>
              <w:bottom w:val="single" w:sz="4" w:space="0" w:color="auto"/>
              <w:right w:val="single" w:sz="4" w:space="0" w:color="auto"/>
            </w:tcBorders>
            <w:hideMark/>
          </w:tcPr>
          <w:p w14:paraId="7D39CCD0" w14:textId="77777777" w:rsidR="000A122C" w:rsidRPr="00264AE1" w:rsidRDefault="000A122C" w:rsidP="001E388F">
            <w:pPr>
              <w:pStyle w:val="CZWSPP1wTABELIczwsppoziomu1numeracjiwtabeli"/>
            </w:pPr>
            <w:r w:rsidRPr="00264AE1">
              <w:t>6 miesięcy od dnia potwierdzonego wyleczenia</w:t>
            </w:r>
            <w:r w:rsidR="00DA6805">
              <w:t>.</w:t>
            </w:r>
          </w:p>
        </w:tc>
      </w:tr>
      <w:tr w:rsidR="000A122C" w14:paraId="7CA53322" w14:textId="77777777" w:rsidTr="00764850">
        <w:tc>
          <w:tcPr>
            <w:tcW w:w="570" w:type="dxa"/>
            <w:tcBorders>
              <w:top w:val="single" w:sz="4" w:space="0" w:color="auto"/>
              <w:left w:val="single" w:sz="4" w:space="0" w:color="auto"/>
              <w:bottom w:val="single" w:sz="4" w:space="0" w:color="auto"/>
              <w:right w:val="single" w:sz="4" w:space="0" w:color="auto"/>
            </w:tcBorders>
          </w:tcPr>
          <w:p w14:paraId="398F67A5" w14:textId="77777777" w:rsidR="000A122C" w:rsidRPr="00264AE1" w:rsidRDefault="00764850" w:rsidP="001E388F">
            <w:pPr>
              <w:pStyle w:val="CZWSPP1wTABELIczwsppoziomu1numeracjiwtabeli"/>
            </w:pPr>
            <w:r>
              <w:t>4.</w:t>
            </w:r>
          </w:p>
        </w:tc>
        <w:tc>
          <w:tcPr>
            <w:tcW w:w="4533" w:type="dxa"/>
            <w:tcBorders>
              <w:top w:val="single" w:sz="4" w:space="0" w:color="auto"/>
              <w:left w:val="single" w:sz="4" w:space="0" w:color="auto"/>
              <w:bottom w:val="single" w:sz="4" w:space="0" w:color="auto"/>
              <w:right w:val="single" w:sz="4" w:space="0" w:color="auto"/>
            </w:tcBorders>
            <w:hideMark/>
          </w:tcPr>
          <w:p w14:paraId="4D87F5B7" w14:textId="77777777" w:rsidR="000A122C" w:rsidRPr="00264AE1" w:rsidRDefault="000A122C" w:rsidP="001E388F">
            <w:pPr>
              <w:pStyle w:val="CZWSPP1wTABELIczwsppoziomu1numeracjiwtabeli"/>
            </w:pPr>
            <w:r w:rsidRPr="00264AE1">
              <w:t>Gruźlica</w:t>
            </w:r>
          </w:p>
        </w:tc>
        <w:tc>
          <w:tcPr>
            <w:tcW w:w="4059" w:type="dxa"/>
            <w:tcBorders>
              <w:top w:val="single" w:sz="4" w:space="0" w:color="auto"/>
              <w:left w:val="single" w:sz="4" w:space="0" w:color="auto"/>
              <w:bottom w:val="single" w:sz="4" w:space="0" w:color="auto"/>
              <w:right w:val="single" w:sz="4" w:space="0" w:color="auto"/>
            </w:tcBorders>
            <w:hideMark/>
          </w:tcPr>
          <w:p w14:paraId="73EA3FF9" w14:textId="77777777" w:rsidR="000A122C" w:rsidRPr="00264AE1" w:rsidRDefault="000A122C" w:rsidP="001E388F">
            <w:pPr>
              <w:pStyle w:val="CZWSPP1wTABELIczwsppoziomu1numeracjiwtabeli"/>
            </w:pPr>
            <w:r w:rsidRPr="00264AE1">
              <w:t>2 lata od dnia potwierdzonego wyleczenia</w:t>
            </w:r>
            <w:r w:rsidR="00DA6805">
              <w:t>.</w:t>
            </w:r>
          </w:p>
        </w:tc>
      </w:tr>
      <w:tr w:rsidR="000A122C" w14:paraId="3C7D0121" w14:textId="77777777" w:rsidTr="00764850">
        <w:tc>
          <w:tcPr>
            <w:tcW w:w="570" w:type="dxa"/>
            <w:tcBorders>
              <w:top w:val="single" w:sz="4" w:space="0" w:color="auto"/>
              <w:left w:val="single" w:sz="4" w:space="0" w:color="auto"/>
              <w:bottom w:val="single" w:sz="4" w:space="0" w:color="auto"/>
              <w:right w:val="single" w:sz="4" w:space="0" w:color="auto"/>
            </w:tcBorders>
          </w:tcPr>
          <w:p w14:paraId="68A78CF8" w14:textId="77777777" w:rsidR="000A122C" w:rsidRPr="00264AE1" w:rsidRDefault="00764850" w:rsidP="001E388F">
            <w:pPr>
              <w:pStyle w:val="CZWSPP1wTABELIczwsppoziomu1numeracjiwtabeli"/>
            </w:pPr>
            <w:r>
              <w:t>5.</w:t>
            </w:r>
          </w:p>
        </w:tc>
        <w:tc>
          <w:tcPr>
            <w:tcW w:w="4533" w:type="dxa"/>
            <w:tcBorders>
              <w:top w:val="single" w:sz="4" w:space="0" w:color="auto"/>
              <w:left w:val="single" w:sz="4" w:space="0" w:color="auto"/>
              <w:bottom w:val="single" w:sz="4" w:space="0" w:color="auto"/>
              <w:right w:val="single" w:sz="4" w:space="0" w:color="auto"/>
            </w:tcBorders>
            <w:hideMark/>
          </w:tcPr>
          <w:p w14:paraId="7ED7FC67" w14:textId="77777777" w:rsidR="000A122C" w:rsidRPr="00264AE1" w:rsidRDefault="000A122C" w:rsidP="001E388F">
            <w:pPr>
              <w:pStyle w:val="CZWSPP1wTABELIczwsppoziomu1numeracjiwtabeli"/>
            </w:pPr>
            <w:r w:rsidRPr="00264AE1">
              <w:t>Gorączka reumatyczna</w:t>
            </w:r>
          </w:p>
        </w:tc>
        <w:tc>
          <w:tcPr>
            <w:tcW w:w="4059" w:type="dxa"/>
            <w:tcBorders>
              <w:top w:val="single" w:sz="4" w:space="0" w:color="auto"/>
              <w:left w:val="single" w:sz="4" w:space="0" w:color="auto"/>
              <w:bottom w:val="single" w:sz="4" w:space="0" w:color="auto"/>
              <w:right w:val="single" w:sz="4" w:space="0" w:color="auto"/>
            </w:tcBorders>
            <w:hideMark/>
          </w:tcPr>
          <w:p w14:paraId="3EFAF45A" w14:textId="77777777" w:rsidR="000A122C" w:rsidRPr="00264AE1" w:rsidRDefault="000A122C" w:rsidP="001E388F">
            <w:pPr>
              <w:pStyle w:val="CZWSPP1wTABELIczwsppoziomu1numeracjiwtabeli"/>
            </w:pPr>
            <w:r w:rsidRPr="00264AE1">
              <w:t>2 lata od dnia ustąpienia objawów, jeżeli nie wystąpiła przewlekła choroba serca</w:t>
            </w:r>
            <w:r w:rsidR="00DA6805">
              <w:t>.</w:t>
            </w:r>
          </w:p>
        </w:tc>
      </w:tr>
      <w:tr w:rsidR="000A122C" w14:paraId="00140005" w14:textId="77777777" w:rsidTr="00764850">
        <w:tc>
          <w:tcPr>
            <w:tcW w:w="570" w:type="dxa"/>
            <w:tcBorders>
              <w:top w:val="single" w:sz="4" w:space="0" w:color="auto"/>
              <w:left w:val="single" w:sz="4" w:space="0" w:color="auto"/>
              <w:bottom w:val="single" w:sz="4" w:space="0" w:color="auto"/>
              <w:right w:val="single" w:sz="4" w:space="0" w:color="auto"/>
            </w:tcBorders>
          </w:tcPr>
          <w:p w14:paraId="22A12010" w14:textId="77777777" w:rsidR="000A122C" w:rsidRPr="00264AE1" w:rsidRDefault="00764850" w:rsidP="001E388F">
            <w:pPr>
              <w:pStyle w:val="CZWSPP1wTABELIczwsppoziomu1numeracjiwtabeli"/>
            </w:pPr>
            <w:r>
              <w:t>6.</w:t>
            </w:r>
          </w:p>
        </w:tc>
        <w:tc>
          <w:tcPr>
            <w:tcW w:w="4533" w:type="dxa"/>
            <w:tcBorders>
              <w:top w:val="single" w:sz="4" w:space="0" w:color="auto"/>
              <w:left w:val="single" w:sz="4" w:space="0" w:color="auto"/>
              <w:bottom w:val="single" w:sz="4" w:space="0" w:color="auto"/>
              <w:right w:val="single" w:sz="4" w:space="0" w:color="auto"/>
            </w:tcBorders>
            <w:hideMark/>
          </w:tcPr>
          <w:p w14:paraId="1A57CDD2" w14:textId="77777777" w:rsidR="000A122C" w:rsidRPr="00264AE1" w:rsidRDefault="000A122C" w:rsidP="001E388F">
            <w:pPr>
              <w:pStyle w:val="CZWSPP1wTABELIczwsppoziomu1numeracjiwtabeli"/>
            </w:pPr>
            <w:r w:rsidRPr="00264AE1">
              <w:t>Gorączka ponad 38 °C</w:t>
            </w:r>
          </w:p>
        </w:tc>
        <w:tc>
          <w:tcPr>
            <w:tcW w:w="4059" w:type="dxa"/>
            <w:tcBorders>
              <w:top w:val="single" w:sz="4" w:space="0" w:color="auto"/>
              <w:left w:val="single" w:sz="4" w:space="0" w:color="auto"/>
              <w:bottom w:val="single" w:sz="4" w:space="0" w:color="auto"/>
              <w:right w:val="single" w:sz="4" w:space="0" w:color="auto"/>
            </w:tcBorders>
            <w:hideMark/>
          </w:tcPr>
          <w:p w14:paraId="357FBA1F" w14:textId="77777777" w:rsidR="000A122C" w:rsidRPr="00264AE1" w:rsidRDefault="000A122C" w:rsidP="001E388F">
            <w:pPr>
              <w:pStyle w:val="CZWSPP1wTABELIczwsppoziomu1numeracjiwtabeli"/>
            </w:pPr>
            <w:r w:rsidRPr="00264AE1">
              <w:t>2 tygodnie od dnia ustąpienia objawów</w:t>
            </w:r>
            <w:r w:rsidR="00DA6805">
              <w:t>.</w:t>
            </w:r>
          </w:p>
        </w:tc>
      </w:tr>
      <w:tr w:rsidR="000A122C" w14:paraId="7EA3CB34" w14:textId="77777777" w:rsidTr="00764850">
        <w:tc>
          <w:tcPr>
            <w:tcW w:w="570" w:type="dxa"/>
            <w:tcBorders>
              <w:top w:val="single" w:sz="4" w:space="0" w:color="auto"/>
              <w:left w:val="single" w:sz="4" w:space="0" w:color="auto"/>
              <w:bottom w:val="single" w:sz="4" w:space="0" w:color="auto"/>
              <w:right w:val="single" w:sz="4" w:space="0" w:color="auto"/>
            </w:tcBorders>
          </w:tcPr>
          <w:p w14:paraId="1A51819B" w14:textId="77777777" w:rsidR="000A122C" w:rsidRPr="00264AE1" w:rsidRDefault="00764850" w:rsidP="001E388F">
            <w:pPr>
              <w:pStyle w:val="CZWSPP1wTABELIczwsppoziomu1numeracjiwtabeli"/>
            </w:pPr>
            <w:r>
              <w:t>7.</w:t>
            </w:r>
          </w:p>
        </w:tc>
        <w:tc>
          <w:tcPr>
            <w:tcW w:w="4533" w:type="dxa"/>
            <w:tcBorders>
              <w:top w:val="single" w:sz="4" w:space="0" w:color="auto"/>
              <w:left w:val="single" w:sz="4" w:space="0" w:color="auto"/>
              <w:bottom w:val="single" w:sz="4" w:space="0" w:color="auto"/>
              <w:right w:val="single" w:sz="4" w:space="0" w:color="auto"/>
            </w:tcBorders>
            <w:hideMark/>
          </w:tcPr>
          <w:p w14:paraId="43E5DD38" w14:textId="77777777" w:rsidR="000A122C" w:rsidRPr="00264AE1" w:rsidRDefault="000A122C" w:rsidP="001E388F">
            <w:pPr>
              <w:pStyle w:val="CZWSPP1wTABELIczwsppoziomu1numeracjiwtabeli"/>
            </w:pPr>
            <w:r w:rsidRPr="00264AE1">
              <w:t>Grypa, infekcja grypopodobna</w:t>
            </w:r>
          </w:p>
        </w:tc>
        <w:tc>
          <w:tcPr>
            <w:tcW w:w="4059" w:type="dxa"/>
            <w:tcBorders>
              <w:top w:val="single" w:sz="4" w:space="0" w:color="auto"/>
              <w:left w:val="single" w:sz="4" w:space="0" w:color="auto"/>
              <w:bottom w:val="single" w:sz="4" w:space="0" w:color="auto"/>
              <w:right w:val="single" w:sz="4" w:space="0" w:color="auto"/>
            </w:tcBorders>
            <w:hideMark/>
          </w:tcPr>
          <w:p w14:paraId="64648088" w14:textId="77777777" w:rsidR="000A122C" w:rsidRPr="00264AE1" w:rsidRDefault="000A122C" w:rsidP="001E388F">
            <w:pPr>
              <w:pStyle w:val="CZWSPP1wTABELIczwsppoziomu1numeracjiwtabeli"/>
            </w:pPr>
            <w:r w:rsidRPr="00264AE1">
              <w:t>2 tygodnie od dnia ustąpienia objawów</w:t>
            </w:r>
            <w:r w:rsidR="00DA6805">
              <w:t>.</w:t>
            </w:r>
          </w:p>
        </w:tc>
      </w:tr>
      <w:tr w:rsidR="000A122C" w14:paraId="45D3017D" w14:textId="77777777" w:rsidTr="00764850">
        <w:tc>
          <w:tcPr>
            <w:tcW w:w="570" w:type="dxa"/>
            <w:tcBorders>
              <w:top w:val="single" w:sz="4" w:space="0" w:color="auto"/>
              <w:left w:val="single" w:sz="4" w:space="0" w:color="auto"/>
              <w:bottom w:val="single" w:sz="4" w:space="0" w:color="auto"/>
              <w:right w:val="single" w:sz="4" w:space="0" w:color="auto"/>
            </w:tcBorders>
          </w:tcPr>
          <w:p w14:paraId="6CB77602" w14:textId="77777777" w:rsidR="000A122C" w:rsidRPr="00264AE1" w:rsidRDefault="00764850" w:rsidP="001E388F">
            <w:pPr>
              <w:pStyle w:val="CZWSPP1wTABELIczwsppoziomu1numeracjiwtabeli"/>
            </w:pPr>
            <w:r>
              <w:t xml:space="preserve">8. </w:t>
            </w:r>
          </w:p>
        </w:tc>
        <w:tc>
          <w:tcPr>
            <w:tcW w:w="4533" w:type="dxa"/>
            <w:tcBorders>
              <w:top w:val="single" w:sz="4" w:space="0" w:color="auto"/>
              <w:left w:val="single" w:sz="4" w:space="0" w:color="auto"/>
              <w:bottom w:val="single" w:sz="4" w:space="0" w:color="auto"/>
              <w:right w:val="single" w:sz="4" w:space="0" w:color="auto"/>
            </w:tcBorders>
            <w:hideMark/>
          </w:tcPr>
          <w:p w14:paraId="55372F20" w14:textId="77777777" w:rsidR="000A122C" w:rsidRPr="00264AE1" w:rsidRDefault="000A122C" w:rsidP="001E388F">
            <w:pPr>
              <w:pStyle w:val="CZWSPP1wTABELIczwsppoziomu1numeracjiwtabeli"/>
            </w:pPr>
            <w:r w:rsidRPr="00264AE1">
              <w:t>Zapalenie szpiku</w:t>
            </w:r>
          </w:p>
        </w:tc>
        <w:tc>
          <w:tcPr>
            <w:tcW w:w="4059" w:type="dxa"/>
            <w:tcBorders>
              <w:top w:val="single" w:sz="4" w:space="0" w:color="auto"/>
              <w:left w:val="single" w:sz="4" w:space="0" w:color="auto"/>
              <w:bottom w:val="single" w:sz="4" w:space="0" w:color="auto"/>
              <w:right w:val="single" w:sz="4" w:space="0" w:color="auto"/>
            </w:tcBorders>
            <w:hideMark/>
          </w:tcPr>
          <w:p w14:paraId="4117B6F7" w14:textId="77777777" w:rsidR="000A122C" w:rsidRPr="00264AE1" w:rsidRDefault="000A122C" w:rsidP="001E388F">
            <w:pPr>
              <w:pStyle w:val="CZWSPP1wTABELIczwsppoziomu1numeracjiwtabeli"/>
            </w:pPr>
            <w:r w:rsidRPr="00264AE1">
              <w:t>2 lata od dnia potwierdzonego wyleczenia</w:t>
            </w:r>
            <w:r w:rsidR="00DA6805">
              <w:t>.</w:t>
            </w:r>
          </w:p>
        </w:tc>
      </w:tr>
      <w:tr w:rsidR="000A122C" w14:paraId="07282B08" w14:textId="77777777" w:rsidTr="00764850">
        <w:trPr>
          <w:trHeight w:val="1131"/>
        </w:trPr>
        <w:tc>
          <w:tcPr>
            <w:tcW w:w="570" w:type="dxa"/>
            <w:tcBorders>
              <w:top w:val="single" w:sz="4" w:space="0" w:color="auto"/>
              <w:left w:val="single" w:sz="4" w:space="0" w:color="auto"/>
              <w:bottom w:val="single" w:sz="4" w:space="0" w:color="auto"/>
              <w:right w:val="single" w:sz="4" w:space="0" w:color="auto"/>
            </w:tcBorders>
          </w:tcPr>
          <w:p w14:paraId="4AECF77E" w14:textId="77777777" w:rsidR="000A122C" w:rsidRPr="00264AE1" w:rsidRDefault="00764850" w:rsidP="001E388F">
            <w:pPr>
              <w:pStyle w:val="CZWSPP1wTABELIczwsppoziomu1numeracjiwtabeli"/>
            </w:pPr>
            <w:r>
              <w:t xml:space="preserve">9. </w:t>
            </w:r>
          </w:p>
        </w:tc>
        <w:tc>
          <w:tcPr>
            <w:tcW w:w="4533" w:type="dxa"/>
            <w:tcBorders>
              <w:top w:val="single" w:sz="4" w:space="0" w:color="auto"/>
              <w:left w:val="single" w:sz="4" w:space="0" w:color="auto"/>
              <w:bottom w:val="single" w:sz="4" w:space="0" w:color="auto"/>
              <w:right w:val="single" w:sz="4" w:space="0" w:color="auto"/>
            </w:tcBorders>
          </w:tcPr>
          <w:p w14:paraId="7FDF89DE" w14:textId="77777777" w:rsidR="000A122C" w:rsidRPr="00264AE1" w:rsidRDefault="000A122C" w:rsidP="001E388F">
            <w:pPr>
              <w:pStyle w:val="CZWSPP1wTABELIczwsppoziomu1numeracjiwtabeli"/>
            </w:pPr>
            <w:r w:rsidRPr="00264AE1">
              <w:t xml:space="preserve">Malaria: </w:t>
            </w:r>
          </w:p>
          <w:p w14:paraId="3DB8F579" w14:textId="77777777" w:rsidR="000A122C" w:rsidRPr="00264AE1" w:rsidRDefault="000A122C" w:rsidP="001E388F">
            <w:pPr>
              <w:pStyle w:val="CZWSPP1wTABELIczwsppoziomu1numeracjiwtabeli"/>
            </w:pPr>
            <w:r>
              <w:t>1)</w:t>
            </w:r>
            <w:r w:rsidRPr="00264AE1">
              <w:t xml:space="preserve"> </w:t>
            </w:r>
            <w:r w:rsidR="00764850" w:rsidRPr="00764850">
              <w:t>Kandydaci na dawców krwi albo dawcy krwi</w:t>
            </w:r>
            <w:r w:rsidRPr="00264AE1">
              <w:t xml:space="preserve">, </w:t>
            </w:r>
            <w:r w:rsidR="00764850" w:rsidRPr="00264AE1">
              <w:t>któ</w:t>
            </w:r>
            <w:r w:rsidR="00764850">
              <w:t>rzy</w:t>
            </w:r>
            <w:r w:rsidR="00764850" w:rsidRPr="00264AE1">
              <w:t xml:space="preserve"> </w:t>
            </w:r>
            <w:r w:rsidRPr="00264AE1">
              <w:t>w dowolnym okresie życia nieprzerwanie przez co najmniej 6 miesięcy zamieszkiwały na terenach endemicznego występowania malarii</w:t>
            </w:r>
            <w:r>
              <w:t>;</w:t>
            </w:r>
          </w:p>
          <w:p w14:paraId="7BADE51E" w14:textId="77777777" w:rsidR="000A122C" w:rsidRPr="00264AE1" w:rsidRDefault="000A122C" w:rsidP="001E388F">
            <w:pPr>
              <w:pStyle w:val="CZWSPP1wTABELIczwsppoziomu1numeracjiwtabeli"/>
            </w:pPr>
          </w:p>
          <w:p w14:paraId="593B98A6" w14:textId="77777777" w:rsidR="000A122C" w:rsidRDefault="000A122C" w:rsidP="001E388F">
            <w:pPr>
              <w:pStyle w:val="CZWSPP1wTABELIczwsppoziomu1numeracjiwtabeli"/>
            </w:pPr>
          </w:p>
          <w:p w14:paraId="5E5BEFBF" w14:textId="77777777" w:rsidR="00166E4C" w:rsidRDefault="00166E4C"/>
          <w:p w14:paraId="08094B41" w14:textId="77777777" w:rsidR="00166E4C" w:rsidRDefault="00166E4C"/>
          <w:p w14:paraId="6798C06C" w14:textId="77777777" w:rsidR="00166E4C" w:rsidRDefault="00166E4C"/>
          <w:p w14:paraId="6A1AD7D5" w14:textId="77777777" w:rsidR="00166E4C" w:rsidRDefault="00166E4C"/>
          <w:p w14:paraId="22D6F619" w14:textId="77777777" w:rsidR="000A122C" w:rsidRPr="00264AE1" w:rsidRDefault="000A122C" w:rsidP="001E388F">
            <w:pPr>
              <w:pStyle w:val="CZWSPP1wTABELIczwsppoziomu1numeracjiwtabeli"/>
            </w:pPr>
          </w:p>
          <w:p w14:paraId="2BABF041" w14:textId="77777777" w:rsidR="000A122C" w:rsidRPr="00264AE1" w:rsidRDefault="000A122C" w:rsidP="001E388F">
            <w:pPr>
              <w:pStyle w:val="CZWSPP1wTABELIczwsppoziomu1numeracjiwtabeli"/>
            </w:pPr>
          </w:p>
          <w:p w14:paraId="7E2CB8EA" w14:textId="77777777" w:rsidR="000A122C" w:rsidRDefault="000A122C" w:rsidP="001E388F">
            <w:pPr>
              <w:pStyle w:val="CZWSPP1wTABELIczwsppoziomu1numeracjiwtabeli"/>
            </w:pPr>
          </w:p>
          <w:p w14:paraId="14BED7E8" w14:textId="77777777" w:rsidR="00166E4C" w:rsidRDefault="00166E4C"/>
          <w:p w14:paraId="786D8C29" w14:textId="77777777" w:rsidR="000A122C" w:rsidRPr="00264AE1" w:rsidRDefault="000A122C" w:rsidP="001E388F">
            <w:pPr>
              <w:pStyle w:val="CZWSPP1wTABELIczwsppoziomu1numeracjiwtabeli"/>
            </w:pPr>
          </w:p>
          <w:p w14:paraId="1DA6F988" w14:textId="77777777" w:rsidR="000A122C" w:rsidRPr="00264AE1" w:rsidRDefault="000A122C" w:rsidP="001E388F">
            <w:pPr>
              <w:pStyle w:val="CZWSPP1wTABELIczwsppoziomu1numeracjiwtabeli"/>
            </w:pPr>
            <w:r>
              <w:t>2)</w:t>
            </w:r>
            <w:r w:rsidR="00764850">
              <w:t xml:space="preserve"> </w:t>
            </w:r>
            <w:r w:rsidR="00764850" w:rsidRPr="00764850">
              <w:t>Kandydaci na dawców krwi albo dawcy krwi</w:t>
            </w:r>
            <w:r w:rsidR="00764850">
              <w:t>, którzy</w:t>
            </w:r>
            <w:r w:rsidR="00764850" w:rsidRPr="00764850">
              <w:t xml:space="preserve"> </w:t>
            </w:r>
            <w:r w:rsidRPr="00264AE1">
              <w:t>przeby</w:t>
            </w:r>
            <w:r w:rsidR="00764850">
              <w:t>li</w:t>
            </w:r>
            <w:r w:rsidRPr="00264AE1">
              <w:t xml:space="preserve"> malarię</w:t>
            </w:r>
            <w:r>
              <w:t>;</w:t>
            </w:r>
          </w:p>
          <w:p w14:paraId="29BF9AF8" w14:textId="77777777" w:rsidR="00166E4C" w:rsidRDefault="00166E4C"/>
          <w:p w14:paraId="36A8D74A" w14:textId="77777777" w:rsidR="00166E4C" w:rsidRDefault="00166E4C"/>
          <w:p w14:paraId="0657F865" w14:textId="77777777" w:rsidR="00166E4C" w:rsidRDefault="00166E4C"/>
          <w:p w14:paraId="77E0EB3E" w14:textId="77777777" w:rsidR="00166E4C" w:rsidRDefault="00166E4C"/>
          <w:p w14:paraId="0AAD9E57" w14:textId="77777777" w:rsidR="00166E4C" w:rsidRDefault="00166E4C"/>
          <w:p w14:paraId="41A029FA" w14:textId="77777777" w:rsidR="00166E4C" w:rsidRDefault="00166E4C"/>
          <w:p w14:paraId="38772267" w14:textId="77777777" w:rsidR="00166E4C" w:rsidRDefault="00166E4C"/>
          <w:p w14:paraId="4D6FA74D" w14:textId="77777777" w:rsidR="00166E4C" w:rsidRDefault="00166E4C"/>
          <w:p w14:paraId="4F7225AA" w14:textId="77777777" w:rsidR="00166E4C" w:rsidRDefault="00166E4C"/>
          <w:p w14:paraId="691BCBCA" w14:textId="77777777" w:rsidR="00166E4C" w:rsidRDefault="00166E4C"/>
          <w:p w14:paraId="6A65E6D6" w14:textId="77777777" w:rsidR="000A122C" w:rsidRPr="00264AE1" w:rsidRDefault="000A122C" w:rsidP="001E388F">
            <w:pPr>
              <w:pStyle w:val="CZWSPP1wTABELIczwsppoziomu1numeracjiwtabeli"/>
            </w:pPr>
          </w:p>
          <w:p w14:paraId="62559381" w14:textId="77777777" w:rsidR="000A122C" w:rsidRPr="00264AE1" w:rsidRDefault="000A122C" w:rsidP="001E388F">
            <w:pPr>
              <w:pStyle w:val="CZWSPP1wTABELIczwsppoziomu1numeracjiwtabeli"/>
            </w:pPr>
            <w:r>
              <w:t>3)</w:t>
            </w:r>
            <w:r w:rsidRPr="00264AE1">
              <w:t xml:space="preserve"> </w:t>
            </w:r>
            <w:r w:rsidR="00764850" w:rsidRPr="00764850">
              <w:t xml:space="preserve">Kandydaci na dawców krwi albo dawcy krwi, którzy </w:t>
            </w:r>
            <w:r w:rsidR="00764850">
              <w:t>powracają</w:t>
            </w:r>
            <w:r w:rsidRPr="00264AE1">
              <w:t xml:space="preserve"> z terenów endemicznego występowania malarii bez objawów choroby</w:t>
            </w:r>
            <w:r w:rsidR="00E93277">
              <w:t>;</w:t>
            </w:r>
          </w:p>
          <w:p w14:paraId="0808AE0F" w14:textId="77777777" w:rsidR="000A122C" w:rsidRPr="00264AE1" w:rsidRDefault="000A122C" w:rsidP="001E388F">
            <w:pPr>
              <w:pStyle w:val="CZWSPP1wTABELIczwsppoziomu1numeracjiwtabeli"/>
            </w:pPr>
          </w:p>
          <w:p w14:paraId="500A2208" w14:textId="77777777" w:rsidR="000A122C" w:rsidRPr="00264AE1" w:rsidRDefault="000A122C" w:rsidP="001E388F">
            <w:pPr>
              <w:pStyle w:val="CZWSPP1wTABELIczwsppoziomu1numeracjiwtabeli"/>
            </w:pPr>
          </w:p>
          <w:p w14:paraId="2FC869AB" w14:textId="77777777" w:rsidR="000A122C" w:rsidRPr="00264AE1" w:rsidRDefault="000A122C" w:rsidP="001E388F">
            <w:pPr>
              <w:pStyle w:val="CZWSPP1wTABELIczwsppoziomu1numeracjiwtabeli"/>
            </w:pPr>
          </w:p>
          <w:p w14:paraId="368A9A04" w14:textId="77777777" w:rsidR="000A122C" w:rsidRPr="00264AE1" w:rsidRDefault="000A122C" w:rsidP="001E388F">
            <w:pPr>
              <w:pStyle w:val="CZWSPP1wTABELIczwsppoziomu1numeracjiwtabeli"/>
            </w:pPr>
          </w:p>
          <w:p w14:paraId="7E435D92" w14:textId="77777777" w:rsidR="000A122C" w:rsidRDefault="000A122C" w:rsidP="001E388F">
            <w:pPr>
              <w:pStyle w:val="CZWSPP1wTABELIczwsppoziomu1numeracjiwtabeli"/>
            </w:pPr>
          </w:p>
          <w:p w14:paraId="7969AD3C" w14:textId="77777777" w:rsidR="000A122C" w:rsidRDefault="000A122C" w:rsidP="001E388F">
            <w:pPr>
              <w:pStyle w:val="CZWSPP1wTABELIczwsppoziomu1numeracjiwtabeli"/>
            </w:pPr>
          </w:p>
          <w:p w14:paraId="6627D918" w14:textId="77777777" w:rsidR="000A122C" w:rsidRDefault="000A122C" w:rsidP="001E388F">
            <w:pPr>
              <w:pStyle w:val="CZWSPP1wTABELIczwsppoziomu1numeracjiwtabeli"/>
            </w:pPr>
          </w:p>
          <w:p w14:paraId="21C06921" w14:textId="77777777" w:rsidR="00166E4C" w:rsidRDefault="00166E4C"/>
          <w:p w14:paraId="6D8DD0AE" w14:textId="77777777" w:rsidR="00166E4C" w:rsidRDefault="00166E4C"/>
          <w:p w14:paraId="748B9E2A" w14:textId="77777777" w:rsidR="00166E4C" w:rsidRDefault="00166E4C"/>
          <w:p w14:paraId="2B3FB44F" w14:textId="77777777" w:rsidR="00166E4C" w:rsidRDefault="00166E4C"/>
          <w:p w14:paraId="45F508B3" w14:textId="77777777" w:rsidR="000A122C" w:rsidRPr="00264AE1" w:rsidRDefault="00764850" w:rsidP="001E388F">
            <w:pPr>
              <w:pStyle w:val="CZWSPP1wTABELIczwsppoziomu1numeracjiwtabeli"/>
            </w:pPr>
            <w:r>
              <w:lastRenderedPageBreak/>
              <w:t xml:space="preserve">4) </w:t>
            </w:r>
            <w:r w:rsidRPr="00764850">
              <w:t>Kandydaci na dawców krwi albo dawcy krwi, którzy</w:t>
            </w:r>
            <w:r w:rsidRPr="00764850" w:rsidDel="00764850">
              <w:t xml:space="preserve"> </w:t>
            </w:r>
            <w:r w:rsidR="000A122C" w:rsidRPr="00264AE1">
              <w:t>w czasie pobytu na obszarach endemicznego występowania malarii lub w ciągu 6 miesięcy po powrocie występowała</w:t>
            </w:r>
            <w:r>
              <w:t xml:space="preserve"> u niech</w:t>
            </w:r>
            <w:r w:rsidR="000A122C" w:rsidRPr="00264AE1">
              <w:t xml:space="preserve"> gorączka o niejasnym pochodzeniu</w:t>
            </w:r>
            <w:r w:rsidR="00E93277">
              <w:t>.</w:t>
            </w:r>
          </w:p>
        </w:tc>
        <w:tc>
          <w:tcPr>
            <w:tcW w:w="4059" w:type="dxa"/>
            <w:tcBorders>
              <w:top w:val="single" w:sz="4" w:space="0" w:color="auto"/>
              <w:left w:val="single" w:sz="4" w:space="0" w:color="auto"/>
              <w:bottom w:val="single" w:sz="4" w:space="0" w:color="auto"/>
              <w:right w:val="single" w:sz="4" w:space="0" w:color="auto"/>
            </w:tcBorders>
          </w:tcPr>
          <w:p w14:paraId="645B983C" w14:textId="77777777" w:rsidR="000A122C" w:rsidRPr="00264AE1" w:rsidRDefault="000A122C" w:rsidP="001E388F">
            <w:pPr>
              <w:pStyle w:val="CZWSPP1wTABELIczwsppoziomu1numeracjiwtabeli"/>
            </w:pPr>
          </w:p>
          <w:p w14:paraId="28EC3481" w14:textId="77777777" w:rsidR="000A122C" w:rsidRPr="00264AE1" w:rsidRDefault="000A122C" w:rsidP="001E388F">
            <w:pPr>
              <w:pStyle w:val="CZWSPP1wTABELIczwsppoziomu1numeracjiwtabeli"/>
            </w:pPr>
            <w:r>
              <w:t>1)</w:t>
            </w:r>
            <w:r w:rsidRPr="00264AE1">
              <w:t xml:space="preserve"> 4 miesiące po powrocie z ostatnie</w:t>
            </w:r>
            <w:r>
              <w:t xml:space="preserve">go pobytu </w:t>
            </w:r>
            <w:r w:rsidRPr="00264AE1">
              <w:t xml:space="preserve">na terenach endemicznego występowania malarii; warunkiem późniejszej kwalifikacji jest uzyskanie negatywnych wyników badań w kierunku malarii przeprowadzonych metodami immunologicznymi lub </w:t>
            </w:r>
            <w:r>
              <w:t>metodami biologii molekularnej; j</w:t>
            </w:r>
            <w:r w:rsidRPr="00264AE1">
              <w:t>eżeli badania dają wynik dodatni - dyskwalifikacja na 3 lata, następnie konieczne jest</w:t>
            </w:r>
            <w:r w:rsidR="00C87F3A">
              <w:t xml:space="preserve"> wykonanie kolejnego badania</w:t>
            </w:r>
            <w:r>
              <w:t>; j</w:t>
            </w:r>
            <w:r w:rsidRPr="00264AE1">
              <w:t>eżeli nie przeprowadzono badań w kierunku malarii – dyskwalifikacja do czasu ich wykonania i uzyskania wyniku negatywnego</w:t>
            </w:r>
            <w:r>
              <w:t>;</w:t>
            </w:r>
          </w:p>
          <w:p w14:paraId="08A6F243" w14:textId="77777777" w:rsidR="000A122C" w:rsidRPr="00264AE1" w:rsidRDefault="000A122C" w:rsidP="001E388F">
            <w:pPr>
              <w:pStyle w:val="CZWSPP1wTABELIczwsppoziomu1numeracjiwtabeli"/>
            </w:pPr>
            <w:r>
              <w:lastRenderedPageBreak/>
              <w:t>2)</w:t>
            </w:r>
            <w:r w:rsidRPr="00264AE1">
              <w:t xml:space="preserve"> na czas występowania objawów i leczenia oraz do uzyskania negatywnych wyników badań immunologicznych lub metodami biologii molekularnej (wykonanych nie wcześniej niż 4 miesiące po ustąpieniu</w:t>
            </w:r>
            <w:r>
              <w:t xml:space="preserve"> objawów/zakończeniu leczenia); j</w:t>
            </w:r>
            <w:r w:rsidRPr="00264AE1">
              <w:t>eżeli badania dają wynik dodatni - dyskwalifikacja na 3 lata, następnie kolejne badanie</w:t>
            </w:r>
            <w:r>
              <w:t>; j</w:t>
            </w:r>
            <w:r w:rsidRPr="00264AE1">
              <w:t>eżeli nie przeprowadzono badań w kierunku malarii – dyskwalifikacja do czasu ich wykonania i uzyskania wyniku negatywnego</w:t>
            </w:r>
            <w:r>
              <w:t>;</w:t>
            </w:r>
          </w:p>
          <w:p w14:paraId="07A8AD10" w14:textId="2434DBDA" w:rsidR="000A122C" w:rsidRPr="00264AE1" w:rsidRDefault="000A122C" w:rsidP="001E388F">
            <w:pPr>
              <w:pStyle w:val="CZWSPP1wTABELIczwsppoziomu1numeracjiwtabeli"/>
            </w:pPr>
            <w:r>
              <w:t>3)</w:t>
            </w:r>
            <w:r w:rsidRPr="00264AE1">
              <w:t xml:space="preserve"> 12 miesięcy od dnia opuszczenia terenów endemicznego występowania malarii. Okres ten może być skrócony do 4 miesięcy, jeżeli badania w kierunku malarii przeprowadzone metodami immunologicznymi lub metodami biologii molekularnej dają wyniki negatywne</w:t>
            </w:r>
            <w:r>
              <w:t>; j</w:t>
            </w:r>
            <w:r w:rsidRPr="00264AE1">
              <w:t>eżeli wyniki badań są dodatnie - dyskwalifikacja na 3 lata, następn</w:t>
            </w:r>
            <w:r>
              <w:t>ie wykonanie kolejnych badań; j</w:t>
            </w:r>
            <w:r w:rsidRPr="00264AE1">
              <w:t>eżeli nie przeprowadzono kolejnych  badań w kierunku malarii – dyskwalifikacja do czasu ich wykonania i uzyskania wyniku negatywnego.</w:t>
            </w:r>
          </w:p>
          <w:p w14:paraId="6D04058B" w14:textId="77777777" w:rsidR="000A122C" w:rsidRPr="00264AE1" w:rsidRDefault="000A122C" w:rsidP="001E388F">
            <w:pPr>
              <w:pStyle w:val="CZWSPP1wTABELIczwsppoziomu1numeracjiwtabeli"/>
            </w:pPr>
          </w:p>
          <w:p w14:paraId="4E559151" w14:textId="77777777" w:rsidR="000A122C" w:rsidRPr="00264AE1" w:rsidRDefault="00764850" w:rsidP="001E388F">
            <w:pPr>
              <w:pStyle w:val="CZWSPP1wTABELIczwsppoziomu1numeracjiwtabeli"/>
            </w:pPr>
            <w:r>
              <w:t xml:space="preserve">4) </w:t>
            </w:r>
            <w:r w:rsidR="000A122C" w:rsidRPr="00264AE1">
              <w:t xml:space="preserve">na czas występowania objawów i leczenia oraz do uzyskania negatywnych wyników badań </w:t>
            </w:r>
            <w:r w:rsidR="000A122C" w:rsidRPr="00264AE1">
              <w:lastRenderedPageBreak/>
              <w:t>immunologicznych lub metodami biologii molekularnej (wykonanych nie wcześniej niż 4 miesiące po ustąpieniu objawów/zakończeniu leczenia)</w:t>
            </w:r>
            <w:r w:rsidR="000A122C">
              <w:t>;</w:t>
            </w:r>
            <w:r w:rsidR="000A122C" w:rsidRPr="00264AE1">
              <w:t xml:space="preserve"> </w:t>
            </w:r>
            <w:r w:rsidR="000A122C">
              <w:t>j</w:t>
            </w:r>
            <w:r w:rsidR="000A122C" w:rsidRPr="00264AE1">
              <w:t>eżeli badania dają wynik dodatni - dyskwalifikacja na 3 lata, następnie kolejne badanie</w:t>
            </w:r>
            <w:r w:rsidR="000A122C">
              <w:t>;</w:t>
            </w:r>
            <w:r w:rsidR="000A122C" w:rsidRPr="00264AE1">
              <w:t xml:space="preserve"> </w:t>
            </w:r>
            <w:r w:rsidR="000A122C">
              <w:t>j</w:t>
            </w:r>
            <w:r w:rsidR="000A122C" w:rsidRPr="00264AE1">
              <w:t>eżeli nie przeprowadzono badań w kierunku malarii – dyskwalifikacja do czasu ich wykonania i uzyskania wyniku negatywnego.</w:t>
            </w:r>
          </w:p>
          <w:p w14:paraId="43B4B8F3" w14:textId="77777777" w:rsidR="000A122C" w:rsidRPr="00264AE1" w:rsidRDefault="000A122C" w:rsidP="001E388F">
            <w:pPr>
              <w:pStyle w:val="CZWSPP1wTABELIczwsppoziomu1numeracjiwtabeli"/>
            </w:pPr>
          </w:p>
        </w:tc>
      </w:tr>
      <w:tr w:rsidR="000A122C" w14:paraId="2540C535" w14:textId="77777777" w:rsidTr="00764850">
        <w:tc>
          <w:tcPr>
            <w:tcW w:w="570" w:type="dxa"/>
            <w:tcBorders>
              <w:top w:val="single" w:sz="4" w:space="0" w:color="auto"/>
              <w:left w:val="single" w:sz="4" w:space="0" w:color="auto"/>
              <w:bottom w:val="single" w:sz="4" w:space="0" w:color="auto"/>
              <w:right w:val="single" w:sz="4" w:space="0" w:color="auto"/>
            </w:tcBorders>
          </w:tcPr>
          <w:p w14:paraId="2B0782D6" w14:textId="77777777" w:rsidR="000A122C" w:rsidRPr="00264AE1" w:rsidRDefault="00764850" w:rsidP="001E388F">
            <w:pPr>
              <w:pStyle w:val="CZWSPP1wTABELIczwsppoziomu1numeracjiwtabeli"/>
            </w:pPr>
            <w:r>
              <w:lastRenderedPageBreak/>
              <w:t>10.</w:t>
            </w:r>
          </w:p>
        </w:tc>
        <w:tc>
          <w:tcPr>
            <w:tcW w:w="4533" w:type="dxa"/>
            <w:tcBorders>
              <w:top w:val="single" w:sz="4" w:space="0" w:color="auto"/>
              <w:left w:val="single" w:sz="4" w:space="0" w:color="auto"/>
              <w:bottom w:val="single" w:sz="4" w:space="0" w:color="auto"/>
              <w:right w:val="single" w:sz="4" w:space="0" w:color="auto"/>
            </w:tcBorders>
            <w:hideMark/>
          </w:tcPr>
          <w:p w14:paraId="5A3316AB" w14:textId="14A94BE9" w:rsidR="000A122C" w:rsidRPr="00264AE1" w:rsidRDefault="00EC105C" w:rsidP="001E388F">
            <w:pPr>
              <w:pStyle w:val="CZWSPP1wTABELIczwsppoziomu1numeracjiwtabeli"/>
            </w:pPr>
            <w:r w:rsidRPr="00EC105C">
              <w:t xml:space="preserve">Kandydaci na dawców krwi albo dawcy krwi, </w:t>
            </w:r>
            <w:r w:rsidR="00E9698F">
              <w:t>powracający</w:t>
            </w:r>
            <w:r w:rsidR="00E9698F" w:rsidRPr="00264AE1">
              <w:t xml:space="preserve"> </w:t>
            </w:r>
            <w:r w:rsidR="000A122C" w:rsidRPr="00264AE1">
              <w:t xml:space="preserve">z obszaru ryzyka zakażenia: </w:t>
            </w:r>
          </w:p>
          <w:p w14:paraId="74F99089" w14:textId="77777777" w:rsidR="000A122C" w:rsidRPr="00264AE1" w:rsidRDefault="00764850" w:rsidP="001E388F">
            <w:pPr>
              <w:pStyle w:val="CZWSPP1wTABELIczwsppoziomu1numeracjiwtabeli"/>
            </w:pPr>
            <w:r>
              <w:t xml:space="preserve">1) </w:t>
            </w:r>
            <w:r w:rsidR="000A122C" w:rsidRPr="00264AE1">
              <w:t>Wirusem Zachodniego Nilu (WNV)</w:t>
            </w:r>
            <w:r w:rsidR="00E44CC2">
              <w:t>;</w:t>
            </w:r>
          </w:p>
          <w:p w14:paraId="252ABF9F" w14:textId="77777777" w:rsidR="000A122C" w:rsidRPr="00264AE1" w:rsidRDefault="00764850" w:rsidP="001E388F">
            <w:pPr>
              <w:pStyle w:val="CZWSPP1wTABELIczwsppoziomu1numeracjiwtabeli"/>
            </w:pPr>
            <w:r>
              <w:t xml:space="preserve">2) </w:t>
            </w:r>
            <w:r w:rsidR="000A122C" w:rsidRPr="00264AE1">
              <w:t>Wirusem dengi</w:t>
            </w:r>
            <w:r w:rsidR="00E44CC2">
              <w:t>;</w:t>
            </w:r>
          </w:p>
          <w:p w14:paraId="7406074F" w14:textId="77777777" w:rsidR="000A122C" w:rsidRPr="00264AE1" w:rsidRDefault="00764850" w:rsidP="001E388F">
            <w:pPr>
              <w:pStyle w:val="CZWSPP1wTABELIczwsppoziomu1numeracjiwtabeli"/>
            </w:pPr>
            <w:r>
              <w:t xml:space="preserve">3) </w:t>
            </w:r>
            <w:r w:rsidR="000A122C" w:rsidRPr="00264AE1">
              <w:t xml:space="preserve">Wirusem </w:t>
            </w:r>
            <w:proofErr w:type="spellStart"/>
            <w:r w:rsidR="000A122C" w:rsidRPr="00264AE1">
              <w:t>chikungunya</w:t>
            </w:r>
            <w:proofErr w:type="spellEnd"/>
            <w:r>
              <w:t>.</w:t>
            </w:r>
          </w:p>
        </w:tc>
        <w:tc>
          <w:tcPr>
            <w:tcW w:w="4059" w:type="dxa"/>
            <w:tcBorders>
              <w:top w:val="single" w:sz="4" w:space="0" w:color="auto"/>
              <w:left w:val="single" w:sz="4" w:space="0" w:color="auto"/>
              <w:bottom w:val="single" w:sz="4" w:space="0" w:color="auto"/>
              <w:right w:val="single" w:sz="4" w:space="0" w:color="auto"/>
            </w:tcBorders>
            <w:hideMark/>
          </w:tcPr>
          <w:p w14:paraId="265345A8" w14:textId="3DD1E8E2" w:rsidR="000A122C" w:rsidRDefault="000A122C" w:rsidP="001E388F">
            <w:pPr>
              <w:pStyle w:val="CZWSPP1wTABELIczwsppoziomu1numeracjiwtabeli"/>
            </w:pPr>
            <w:r w:rsidRPr="00264AE1">
              <w:t xml:space="preserve">- 28 dni od dnia opuszczenia obszaru ryzyka zakażenia, chyba, że </w:t>
            </w:r>
            <w:r w:rsidR="00E9698F">
              <w:t>b</w:t>
            </w:r>
            <w:r w:rsidR="00E9698F" w:rsidRPr="00264AE1">
              <w:t xml:space="preserve">adania </w:t>
            </w:r>
            <w:r w:rsidRPr="00264AE1">
              <w:t>wykonane metodami biologii molekularnej dają wyniki negatywne</w:t>
            </w:r>
            <w:r w:rsidR="002D4F6D">
              <w:t>,</w:t>
            </w:r>
          </w:p>
          <w:p w14:paraId="63A3FD7E" w14:textId="77777777" w:rsidR="000A122C" w:rsidRPr="00264AE1" w:rsidRDefault="000A122C" w:rsidP="001E388F">
            <w:pPr>
              <w:pStyle w:val="CZWSPP1wTABELIczwsppoziomu1numeracjiwtabeli"/>
            </w:pPr>
            <w:r w:rsidRPr="00264AE1">
              <w:t>- w przypadku zakażenia - 120 dni od dnia wyleczenia</w:t>
            </w:r>
            <w:r w:rsidR="002D4F6D">
              <w:t>.</w:t>
            </w:r>
          </w:p>
        </w:tc>
      </w:tr>
      <w:tr w:rsidR="000A122C" w14:paraId="69C3D362" w14:textId="77777777" w:rsidTr="00764850">
        <w:tc>
          <w:tcPr>
            <w:tcW w:w="570" w:type="dxa"/>
            <w:tcBorders>
              <w:top w:val="single" w:sz="4" w:space="0" w:color="auto"/>
              <w:left w:val="single" w:sz="4" w:space="0" w:color="auto"/>
              <w:bottom w:val="single" w:sz="4" w:space="0" w:color="auto"/>
              <w:right w:val="single" w:sz="4" w:space="0" w:color="auto"/>
            </w:tcBorders>
          </w:tcPr>
          <w:p w14:paraId="40DA5473" w14:textId="77777777" w:rsidR="000A122C" w:rsidRPr="00264AE1" w:rsidRDefault="00764850" w:rsidP="001E388F">
            <w:pPr>
              <w:pStyle w:val="CZWSPP1wTABELIczwsppoziomu1numeracjiwtabeli"/>
            </w:pPr>
            <w:r>
              <w:t>11.</w:t>
            </w:r>
          </w:p>
        </w:tc>
        <w:tc>
          <w:tcPr>
            <w:tcW w:w="4533" w:type="dxa"/>
            <w:tcBorders>
              <w:top w:val="single" w:sz="4" w:space="0" w:color="auto"/>
              <w:left w:val="single" w:sz="4" w:space="0" w:color="auto"/>
              <w:bottom w:val="single" w:sz="4" w:space="0" w:color="auto"/>
              <w:right w:val="single" w:sz="4" w:space="0" w:color="auto"/>
            </w:tcBorders>
            <w:hideMark/>
          </w:tcPr>
          <w:p w14:paraId="12E6A396" w14:textId="77777777" w:rsidR="000A122C" w:rsidRPr="00264AE1" w:rsidRDefault="000A122C" w:rsidP="001E388F">
            <w:pPr>
              <w:pStyle w:val="CZWSPP1wTABELIczwsppoziomu1numeracjiwtabeli"/>
            </w:pPr>
            <w:r w:rsidRPr="00264AE1">
              <w:t>Rzeżączka</w:t>
            </w:r>
          </w:p>
        </w:tc>
        <w:tc>
          <w:tcPr>
            <w:tcW w:w="4059" w:type="dxa"/>
            <w:tcBorders>
              <w:top w:val="single" w:sz="4" w:space="0" w:color="auto"/>
              <w:left w:val="single" w:sz="4" w:space="0" w:color="auto"/>
              <w:bottom w:val="single" w:sz="4" w:space="0" w:color="auto"/>
              <w:right w:val="single" w:sz="4" w:space="0" w:color="auto"/>
            </w:tcBorders>
            <w:hideMark/>
          </w:tcPr>
          <w:p w14:paraId="351E62DF" w14:textId="77777777" w:rsidR="000A122C" w:rsidRPr="00264AE1" w:rsidRDefault="000A122C" w:rsidP="001E388F">
            <w:pPr>
              <w:pStyle w:val="CZWSPP1wTABELIczwsppoziomu1numeracjiwtabeli"/>
            </w:pPr>
            <w:r w:rsidRPr="00264AE1">
              <w:t>W okresie choroby i 12 miesięcy od dnia zakończenia leczenia</w:t>
            </w:r>
            <w:r w:rsidR="002D4F6D">
              <w:t>.</w:t>
            </w:r>
          </w:p>
        </w:tc>
      </w:tr>
      <w:tr w:rsidR="000A122C" w14:paraId="0A063D39" w14:textId="77777777" w:rsidTr="00764850">
        <w:tc>
          <w:tcPr>
            <w:tcW w:w="570" w:type="dxa"/>
            <w:tcBorders>
              <w:top w:val="single" w:sz="4" w:space="0" w:color="auto"/>
              <w:left w:val="single" w:sz="4" w:space="0" w:color="auto"/>
              <w:bottom w:val="single" w:sz="4" w:space="0" w:color="auto"/>
              <w:right w:val="single" w:sz="4" w:space="0" w:color="auto"/>
            </w:tcBorders>
          </w:tcPr>
          <w:p w14:paraId="189156A8" w14:textId="77777777" w:rsidR="000A122C" w:rsidRPr="00264AE1" w:rsidRDefault="00764850" w:rsidP="001E388F">
            <w:pPr>
              <w:pStyle w:val="CZWSPP1wTABELIczwsppoziomu1numeracjiwtabeli"/>
            </w:pPr>
            <w:r>
              <w:t>12.</w:t>
            </w:r>
          </w:p>
        </w:tc>
        <w:tc>
          <w:tcPr>
            <w:tcW w:w="4533" w:type="dxa"/>
            <w:tcBorders>
              <w:top w:val="single" w:sz="4" w:space="0" w:color="auto"/>
              <w:left w:val="single" w:sz="4" w:space="0" w:color="auto"/>
              <w:bottom w:val="single" w:sz="4" w:space="0" w:color="auto"/>
              <w:right w:val="single" w:sz="4" w:space="0" w:color="auto"/>
            </w:tcBorders>
            <w:hideMark/>
          </w:tcPr>
          <w:p w14:paraId="1AB62EC5" w14:textId="77777777" w:rsidR="000A122C" w:rsidRPr="00264AE1" w:rsidRDefault="000A122C" w:rsidP="001E388F">
            <w:pPr>
              <w:pStyle w:val="CZWSPP1wTABELIczwsppoziomu1numeracjiwtabeli"/>
            </w:pPr>
            <w:r w:rsidRPr="00264AE1">
              <w:t>Mononukleoza zakaźna</w:t>
            </w:r>
          </w:p>
        </w:tc>
        <w:tc>
          <w:tcPr>
            <w:tcW w:w="4059" w:type="dxa"/>
            <w:tcBorders>
              <w:top w:val="single" w:sz="4" w:space="0" w:color="auto"/>
              <w:left w:val="single" w:sz="4" w:space="0" w:color="auto"/>
              <w:bottom w:val="single" w:sz="4" w:space="0" w:color="auto"/>
              <w:right w:val="single" w:sz="4" w:space="0" w:color="auto"/>
            </w:tcBorders>
            <w:hideMark/>
          </w:tcPr>
          <w:p w14:paraId="5A2CF6D5" w14:textId="77777777" w:rsidR="000A122C" w:rsidRPr="00264AE1" w:rsidRDefault="000A122C" w:rsidP="001E388F">
            <w:pPr>
              <w:pStyle w:val="CZWSPP1wTABELIczwsppoziomu1numeracjiwtabeli"/>
            </w:pPr>
            <w:r w:rsidRPr="00264AE1">
              <w:t>6 miesięcy od dnia wyzdrowienia</w:t>
            </w:r>
            <w:r w:rsidR="002D4F6D">
              <w:t>.</w:t>
            </w:r>
          </w:p>
        </w:tc>
      </w:tr>
    </w:tbl>
    <w:p w14:paraId="2C676024" w14:textId="77777777" w:rsidR="00264AE1" w:rsidRPr="00264AE1" w:rsidRDefault="00264AE1" w:rsidP="00264AE1"/>
    <w:p w14:paraId="14E013E8" w14:textId="38E00BA1" w:rsidR="00264AE1" w:rsidRPr="00264AE1" w:rsidRDefault="00264AE1" w:rsidP="00EC105C">
      <w:pPr>
        <w:pStyle w:val="NIEARTTEKSTtekstnieartykuowanynppodstprawnarozplubpreambua"/>
      </w:pPr>
      <w:r w:rsidRPr="00264AE1">
        <w:t xml:space="preserve">2.2.2 Narażenie na niebezpieczeństwo </w:t>
      </w:r>
      <w:r w:rsidR="005E4EF1" w:rsidRPr="005E4EF1">
        <w:t>zakażeni</w:t>
      </w:r>
      <w:r w:rsidR="005E4EF1">
        <w:t>a</w:t>
      </w:r>
      <w:r w:rsidR="005E4EF1" w:rsidRPr="00264AE1" w:rsidDel="005E4EF1">
        <w:t xml:space="preserve"> </w:t>
      </w:r>
      <w:r w:rsidRPr="00264AE1">
        <w:t>chorobami przenoszonymi drogą przetoczenia krwi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537"/>
        <w:gridCol w:w="4058"/>
      </w:tblGrid>
      <w:tr w:rsidR="00EC105C" w14:paraId="64482E0D" w14:textId="77777777" w:rsidTr="00EC105C">
        <w:tc>
          <w:tcPr>
            <w:tcW w:w="364" w:type="pct"/>
            <w:tcBorders>
              <w:top w:val="single" w:sz="4" w:space="0" w:color="auto"/>
              <w:left w:val="single" w:sz="4" w:space="0" w:color="auto"/>
              <w:bottom w:val="single" w:sz="4" w:space="0" w:color="auto"/>
              <w:right w:val="single" w:sz="4" w:space="0" w:color="auto"/>
            </w:tcBorders>
          </w:tcPr>
          <w:p w14:paraId="7368620D" w14:textId="77777777" w:rsidR="00EC105C" w:rsidRPr="00F7754F" w:rsidRDefault="00EC105C" w:rsidP="00F7754F">
            <w:pPr>
              <w:pStyle w:val="TEKSTwTABELIWYRODKOWANYtekstwyrodkowanywpoziomie"/>
              <w:rPr>
                <w:rStyle w:val="Ppogrubienie"/>
              </w:rPr>
            </w:pPr>
            <w:r>
              <w:rPr>
                <w:rStyle w:val="Ppogrubienie"/>
              </w:rPr>
              <w:t xml:space="preserve">Lp. </w:t>
            </w:r>
          </w:p>
        </w:tc>
        <w:tc>
          <w:tcPr>
            <w:tcW w:w="2447" w:type="pct"/>
            <w:tcBorders>
              <w:top w:val="single" w:sz="4" w:space="0" w:color="auto"/>
              <w:left w:val="single" w:sz="4" w:space="0" w:color="auto"/>
              <w:bottom w:val="single" w:sz="4" w:space="0" w:color="auto"/>
              <w:right w:val="single" w:sz="4" w:space="0" w:color="auto"/>
            </w:tcBorders>
            <w:hideMark/>
          </w:tcPr>
          <w:p w14:paraId="06868476" w14:textId="77777777" w:rsidR="00EC105C" w:rsidRPr="00F7754F" w:rsidRDefault="00EC105C" w:rsidP="00F7754F">
            <w:pPr>
              <w:pStyle w:val="TEKSTwTABELIWYRODKOWANYtekstwyrodkowanywpoziomie"/>
              <w:rPr>
                <w:rStyle w:val="Ppogrubienie"/>
              </w:rPr>
            </w:pPr>
            <w:r w:rsidRPr="00F7754F">
              <w:rPr>
                <w:rStyle w:val="Ppogrubienie"/>
              </w:rPr>
              <w:t>Kryterium</w:t>
            </w:r>
          </w:p>
        </w:tc>
        <w:tc>
          <w:tcPr>
            <w:tcW w:w="2189" w:type="pct"/>
            <w:tcBorders>
              <w:top w:val="single" w:sz="4" w:space="0" w:color="auto"/>
              <w:left w:val="single" w:sz="4" w:space="0" w:color="auto"/>
              <w:bottom w:val="single" w:sz="4" w:space="0" w:color="auto"/>
              <w:right w:val="single" w:sz="4" w:space="0" w:color="auto"/>
            </w:tcBorders>
            <w:hideMark/>
          </w:tcPr>
          <w:p w14:paraId="71946088" w14:textId="77777777" w:rsidR="00EC105C" w:rsidRPr="00F7754F" w:rsidRDefault="00EC105C" w:rsidP="00F7754F">
            <w:pPr>
              <w:pStyle w:val="TEKSTwTABELIWYRODKOWANYtekstwyrodkowanywpoziomie"/>
              <w:rPr>
                <w:rStyle w:val="Ppogrubienie"/>
              </w:rPr>
            </w:pPr>
            <w:r w:rsidRPr="00F7754F">
              <w:rPr>
                <w:rStyle w:val="Ppogrubienie"/>
              </w:rPr>
              <w:t>Szczegółowy opis kryterium oraz warunki pobierania krwi od kandydata na dawcę krwi albo dawcy krwi</w:t>
            </w:r>
          </w:p>
        </w:tc>
      </w:tr>
      <w:tr w:rsidR="00EC105C" w14:paraId="589FE252" w14:textId="77777777" w:rsidTr="00EC105C">
        <w:tc>
          <w:tcPr>
            <w:tcW w:w="0" w:type="auto"/>
            <w:tcBorders>
              <w:top w:val="single" w:sz="4" w:space="0" w:color="auto"/>
              <w:left w:val="single" w:sz="4" w:space="0" w:color="auto"/>
              <w:bottom w:val="single" w:sz="4" w:space="0" w:color="auto"/>
              <w:right w:val="single" w:sz="4" w:space="0" w:color="auto"/>
            </w:tcBorders>
          </w:tcPr>
          <w:p w14:paraId="401B913F" w14:textId="77777777" w:rsidR="00EC105C" w:rsidRPr="00EC105C" w:rsidRDefault="00EC105C" w:rsidP="00EC105C">
            <w:pPr>
              <w:pStyle w:val="CZWSPP1wTABELIczwsppoziomu1numeracjiwtabeli"/>
            </w:pPr>
            <w:r w:rsidRPr="00EC105C">
              <w:t xml:space="preserve">1. </w:t>
            </w:r>
          </w:p>
        </w:tc>
        <w:tc>
          <w:tcPr>
            <w:tcW w:w="0" w:type="auto"/>
            <w:tcBorders>
              <w:top w:val="single" w:sz="4" w:space="0" w:color="auto"/>
              <w:left w:val="single" w:sz="4" w:space="0" w:color="auto"/>
              <w:bottom w:val="single" w:sz="4" w:space="0" w:color="auto"/>
              <w:right w:val="single" w:sz="4" w:space="0" w:color="auto"/>
            </w:tcBorders>
            <w:hideMark/>
          </w:tcPr>
          <w:p w14:paraId="7CA006A2" w14:textId="77777777" w:rsidR="00EC105C" w:rsidRPr="00EC105C" w:rsidRDefault="00EC105C" w:rsidP="00EC105C">
            <w:pPr>
              <w:pStyle w:val="CZWSPP1wTABELIczwsppoziomu1numeracjiwtabeli"/>
            </w:pPr>
            <w:r>
              <w:t xml:space="preserve">1) </w:t>
            </w:r>
            <w:r w:rsidRPr="00EC105C">
              <w:t xml:space="preserve">Badanie endoskopowe przy użyciu </w:t>
            </w:r>
            <w:proofErr w:type="spellStart"/>
            <w:r w:rsidRPr="00EC105C">
              <w:t>fiberoendoskopu</w:t>
            </w:r>
            <w:proofErr w:type="spellEnd"/>
            <w:r>
              <w:t xml:space="preserve">; </w:t>
            </w:r>
          </w:p>
          <w:p w14:paraId="222B7282" w14:textId="77777777" w:rsidR="00EC105C" w:rsidRPr="00EC105C" w:rsidRDefault="00EC105C" w:rsidP="00EC105C">
            <w:pPr>
              <w:pStyle w:val="CZWSPP1wTABELIczwsppoziomu1numeracjiwtabeli"/>
            </w:pPr>
            <w:r>
              <w:t>2)</w:t>
            </w:r>
            <w:r w:rsidRPr="00EC105C">
              <w:t xml:space="preserve"> Kontakt śluzówki z krwią lub ukłucie igłą</w:t>
            </w:r>
            <w:r>
              <w:t>;</w:t>
            </w:r>
          </w:p>
          <w:p w14:paraId="77D4B03A" w14:textId="77777777" w:rsidR="00EC105C" w:rsidRPr="00EC105C" w:rsidRDefault="00EC105C" w:rsidP="00EC105C">
            <w:pPr>
              <w:pStyle w:val="CZWSPP1wTABELIczwsppoziomu1numeracjiwtabeli"/>
            </w:pPr>
            <w:r>
              <w:t>3)</w:t>
            </w:r>
            <w:r w:rsidRPr="00EC105C">
              <w:t xml:space="preserve"> Przetoczenie składników krwi</w:t>
            </w:r>
            <w:r>
              <w:t>;</w:t>
            </w:r>
          </w:p>
          <w:p w14:paraId="35799A75" w14:textId="77777777" w:rsidR="00EC105C" w:rsidRPr="00EC105C" w:rsidRDefault="00EC105C" w:rsidP="00EC105C">
            <w:pPr>
              <w:pStyle w:val="CZWSPP1wTABELIczwsppoziomu1numeracjiwtabeli"/>
            </w:pPr>
            <w:r>
              <w:lastRenderedPageBreak/>
              <w:t>4)</w:t>
            </w:r>
            <w:r w:rsidRPr="00EC105C">
              <w:t xml:space="preserve"> Przeszczep ludzkich komórek lub tkanek</w:t>
            </w:r>
            <w:r>
              <w:t>;</w:t>
            </w:r>
          </w:p>
          <w:p w14:paraId="152737E0" w14:textId="77777777" w:rsidR="00EC105C" w:rsidRPr="00EC105C" w:rsidRDefault="00EC105C" w:rsidP="00EC105C">
            <w:pPr>
              <w:pStyle w:val="CZWSPP1wTABELIczwsppoziomu1numeracjiwtabeli"/>
            </w:pPr>
            <w:r>
              <w:t>5)</w:t>
            </w:r>
            <w:r w:rsidRPr="00EC105C">
              <w:t xml:space="preserve"> Duży zabieg chirurgiczny</w:t>
            </w:r>
            <w:r>
              <w:t>;</w:t>
            </w:r>
          </w:p>
          <w:p w14:paraId="1C9736C9" w14:textId="77777777" w:rsidR="00EC105C" w:rsidRPr="00EC105C" w:rsidRDefault="00EC105C" w:rsidP="00EC105C">
            <w:pPr>
              <w:pStyle w:val="CZWSPP1wTABELIczwsppoziomu1numeracjiwtabeli"/>
            </w:pPr>
            <w:r>
              <w:t>6)</w:t>
            </w:r>
            <w:r w:rsidRPr="00EC105C">
              <w:t xml:space="preserve"> Tatuaż lub przekłucie części ciała</w:t>
            </w:r>
            <w:r>
              <w:t>;</w:t>
            </w:r>
          </w:p>
          <w:p w14:paraId="701D8F83" w14:textId="77777777" w:rsidR="00EC105C" w:rsidRPr="00EC105C" w:rsidRDefault="00EC105C" w:rsidP="002D4F6D">
            <w:pPr>
              <w:pStyle w:val="CZWSPP1wTABELIczwsppoziomu1numeracjiwtabeli"/>
            </w:pPr>
            <w:r>
              <w:t>7)</w:t>
            </w:r>
            <w:r w:rsidRPr="00EC105C">
              <w:t xml:space="preserve"> Akupunktura, o ile nie została wykonana przez wykwalifikowanego lekarza przy użyciu jałowych jednorazowych igieł</w:t>
            </w:r>
            <w:r w:rsidR="002D4F6D">
              <w:t>.</w:t>
            </w:r>
          </w:p>
        </w:tc>
        <w:tc>
          <w:tcPr>
            <w:tcW w:w="0" w:type="auto"/>
            <w:tcBorders>
              <w:top w:val="single" w:sz="4" w:space="0" w:color="auto"/>
              <w:left w:val="single" w:sz="4" w:space="0" w:color="auto"/>
              <w:bottom w:val="single" w:sz="4" w:space="0" w:color="auto"/>
              <w:right w:val="single" w:sz="4" w:space="0" w:color="auto"/>
            </w:tcBorders>
            <w:hideMark/>
          </w:tcPr>
          <w:p w14:paraId="39179445" w14:textId="77777777" w:rsidR="00EC105C" w:rsidRPr="00EC105C" w:rsidRDefault="00EC105C" w:rsidP="00EC105C">
            <w:pPr>
              <w:pStyle w:val="CZWSPP1wTABELIczwsppoziomu1numeracjiwtabeli"/>
            </w:pPr>
            <w:r w:rsidRPr="00EC105C">
              <w:lastRenderedPageBreak/>
              <w:t xml:space="preserve">Dyskwalifikacja na okres 6 miesięcy albo na 4 miesiące w przypadku, gdy badania metodami biologii molekularnej w kierunku wirusowego zapalenia wątroby typu B i C, a także </w:t>
            </w:r>
            <w:r w:rsidRPr="00EC105C">
              <w:lastRenderedPageBreak/>
              <w:t>HIV, dają wyniki ujemne</w:t>
            </w:r>
            <w:r w:rsidR="00ED0A14">
              <w:t>.</w:t>
            </w:r>
          </w:p>
        </w:tc>
      </w:tr>
      <w:tr w:rsidR="00EC105C" w14:paraId="3BA3F498" w14:textId="77777777" w:rsidTr="00EC105C">
        <w:tc>
          <w:tcPr>
            <w:tcW w:w="0" w:type="auto"/>
            <w:tcBorders>
              <w:top w:val="single" w:sz="4" w:space="0" w:color="auto"/>
              <w:left w:val="single" w:sz="4" w:space="0" w:color="auto"/>
              <w:bottom w:val="single" w:sz="4" w:space="0" w:color="auto"/>
              <w:right w:val="single" w:sz="4" w:space="0" w:color="auto"/>
            </w:tcBorders>
          </w:tcPr>
          <w:p w14:paraId="08BA5A08" w14:textId="77777777" w:rsidR="00EC105C" w:rsidRPr="00EC105C" w:rsidRDefault="00EC105C" w:rsidP="00EC105C">
            <w:pPr>
              <w:pStyle w:val="CZWSPP1wTABELIczwsppoziomu1numeracjiwtabeli"/>
            </w:pPr>
            <w:r w:rsidRPr="00EC105C">
              <w:lastRenderedPageBreak/>
              <w:t>2.</w:t>
            </w:r>
          </w:p>
        </w:tc>
        <w:tc>
          <w:tcPr>
            <w:tcW w:w="0" w:type="auto"/>
            <w:tcBorders>
              <w:top w:val="single" w:sz="4" w:space="0" w:color="auto"/>
              <w:left w:val="single" w:sz="4" w:space="0" w:color="auto"/>
              <w:bottom w:val="single" w:sz="4" w:space="0" w:color="auto"/>
              <w:right w:val="single" w:sz="4" w:space="0" w:color="auto"/>
            </w:tcBorders>
            <w:hideMark/>
          </w:tcPr>
          <w:p w14:paraId="701C8A25" w14:textId="77777777" w:rsidR="00EC105C" w:rsidRPr="00EC105C" w:rsidRDefault="00EC105C" w:rsidP="00EC105C">
            <w:pPr>
              <w:pStyle w:val="CZWSPP1wTABELIczwsppoziomu1numeracjiwtabeli"/>
            </w:pPr>
            <w:r w:rsidRPr="00EC105C">
              <w:t>Kandydaci na dawców krwi albo dawcy krwi, którzy</w:t>
            </w:r>
            <w:r w:rsidRPr="00EC105C" w:rsidDel="00764850">
              <w:t xml:space="preserve"> </w:t>
            </w:r>
            <w:r w:rsidRPr="00EC105C">
              <w:t>naraż</w:t>
            </w:r>
            <w:r>
              <w:t>eni</w:t>
            </w:r>
            <w:r w:rsidRPr="00EC105C">
              <w:t xml:space="preserve"> na ryzyko z powodu bliskiego kontaktu w warunkach domowych z chorymi na wirusowe zapalenie wątroby lub nosicielami wirusów zapalenia wątroby</w:t>
            </w:r>
            <w:r w:rsidR="002D4F6D">
              <w:t>.</w:t>
            </w:r>
          </w:p>
        </w:tc>
        <w:tc>
          <w:tcPr>
            <w:tcW w:w="0" w:type="auto"/>
            <w:tcBorders>
              <w:top w:val="single" w:sz="4" w:space="0" w:color="auto"/>
              <w:left w:val="single" w:sz="4" w:space="0" w:color="auto"/>
              <w:bottom w:val="single" w:sz="4" w:space="0" w:color="auto"/>
              <w:right w:val="single" w:sz="4" w:space="0" w:color="auto"/>
            </w:tcBorders>
            <w:hideMark/>
          </w:tcPr>
          <w:p w14:paraId="11EC91D9" w14:textId="77777777" w:rsidR="00EC105C" w:rsidRPr="00EC105C" w:rsidRDefault="00EC105C" w:rsidP="00EC105C">
            <w:pPr>
              <w:pStyle w:val="CZWSPP1wTABELIczwsppoziomu1numeracjiwtabeli"/>
            </w:pPr>
            <w:r w:rsidRPr="00EC105C">
              <w:t>Dyskwalifikacja na okres 6 miesięcy albo na 4 miesiące w przypadku, gdy badanie metodami biologii molekularnej w kierunku wirusowego zapalenia wątroby typu B lub C daje wynik ujemny</w:t>
            </w:r>
            <w:r w:rsidR="002D4F6D">
              <w:t xml:space="preserve">. </w:t>
            </w:r>
          </w:p>
        </w:tc>
      </w:tr>
      <w:tr w:rsidR="00EC105C" w14:paraId="0CAC940F" w14:textId="77777777" w:rsidTr="00EC105C">
        <w:tc>
          <w:tcPr>
            <w:tcW w:w="0" w:type="auto"/>
            <w:tcBorders>
              <w:top w:val="single" w:sz="4" w:space="0" w:color="auto"/>
              <w:left w:val="single" w:sz="4" w:space="0" w:color="auto"/>
              <w:bottom w:val="single" w:sz="4" w:space="0" w:color="auto"/>
              <w:right w:val="single" w:sz="4" w:space="0" w:color="auto"/>
            </w:tcBorders>
          </w:tcPr>
          <w:p w14:paraId="1BEB3EFE" w14:textId="77777777" w:rsidR="00EC105C" w:rsidRPr="00EC105C" w:rsidRDefault="00EC105C" w:rsidP="00EC105C">
            <w:pPr>
              <w:pStyle w:val="CZWSPP1wTABELIczwsppoziomu1numeracjiwtabeli"/>
            </w:pPr>
            <w:r w:rsidRPr="00EC105C">
              <w:t>3.</w:t>
            </w:r>
          </w:p>
        </w:tc>
        <w:tc>
          <w:tcPr>
            <w:tcW w:w="0" w:type="auto"/>
            <w:tcBorders>
              <w:top w:val="single" w:sz="4" w:space="0" w:color="auto"/>
              <w:left w:val="single" w:sz="4" w:space="0" w:color="auto"/>
              <w:bottom w:val="single" w:sz="4" w:space="0" w:color="auto"/>
              <w:right w:val="single" w:sz="4" w:space="0" w:color="auto"/>
            </w:tcBorders>
            <w:hideMark/>
          </w:tcPr>
          <w:p w14:paraId="2ADC4C99" w14:textId="3E80EEE0" w:rsidR="00EC105C" w:rsidRPr="00EC105C" w:rsidRDefault="00EC105C" w:rsidP="00E9698F">
            <w:pPr>
              <w:pStyle w:val="CZWSPP1wTABELIczwsppoziomu1numeracjiwtabeli"/>
            </w:pPr>
            <w:r w:rsidRPr="00EC105C">
              <w:t>Kandydaci na dawców krwi albo dawcy krwi, którzy ze względu na swoje zachowania</w:t>
            </w:r>
            <w:r w:rsidR="00E93277">
              <w:t>,</w:t>
            </w:r>
            <w:r w:rsidRPr="00EC105C">
              <w:t xml:space="preserve"> czy działalność są szczególnie narażone na </w:t>
            </w:r>
            <w:r w:rsidR="005E4EF1" w:rsidRPr="005E4EF1">
              <w:t>zakażenie</w:t>
            </w:r>
            <w:r w:rsidR="005E4EF1" w:rsidRPr="00EC105C" w:rsidDel="005E4EF1">
              <w:t xml:space="preserve"> </w:t>
            </w:r>
            <w:r w:rsidRPr="00EC105C">
              <w:t xml:space="preserve">chorobami przenoszonymi drogą </w:t>
            </w:r>
            <w:r w:rsidR="00A503E8" w:rsidRPr="00A503E8">
              <w:t>przetoczenia krwi</w:t>
            </w:r>
            <w:r w:rsidR="002D4F6D">
              <w:t>.</w:t>
            </w:r>
          </w:p>
        </w:tc>
        <w:tc>
          <w:tcPr>
            <w:tcW w:w="0" w:type="auto"/>
            <w:tcBorders>
              <w:top w:val="single" w:sz="4" w:space="0" w:color="auto"/>
              <w:left w:val="single" w:sz="4" w:space="0" w:color="auto"/>
              <w:bottom w:val="single" w:sz="4" w:space="0" w:color="auto"/>
              <w:right w:val="single" w:sz="4" w:space="0" w:color="auto"/>
            </w:tcBorders>
            <w:hideMark/>
          </w:tcPr>
          <w:p w14:paraId="60735781" w14:textId="77777777" w:rsidR="00EC105C" w:rsidRPr="00EC105C" w:rsidRDefault="00EC105C" w:rsidP="00EC105C">
            <w:pPr>
              <w:pStyle w:val="CZWSPP1wTABELIczwsppoziomu1numeracjiwtabeli"/>
            </w:pPr>
            <w:r w:rsidRPr="00EC105C">
              <w:t xml:space="preserve">Po zaprzestaniu ryzykownych </w:t>
            </w:r>
            <w:proofErr w:type="spellStart"/>
            <w:r w:rsidRPr="00EC105C">
              <w:t>zachowań</w:t>
            </w:r>
            <w:proofErr w:type="spellEnd"/>
            <w:r w:rsidRPr="00EC105C">
              <w:t xml:space="preserve"> dyskwalifikacja na okres zależny od rodzaju choroby i od dostępności odpowiednich testów</w:t>
            </w:r>
          </w:p>
          <w:p w14:paraId="43F0EC78" w14:textId="77777777" w:rsidR="00EC105C" w:rsidRPr="00EC105C" w:rsidRDefault="00EC105C" w:rsidP="00EC105C">
            <w:pPr>
              <w:pStyle w:val="CZWSPP1wTABELIczwsppoziomu1numeracjiwtabeli"/>
            </w:pPr>
            <w:r w:rsidRPr="00EC105C">
              <w:t>Osoby utrzymujące kontakty seksualne z partnerami, u których testy w kierunku AIDS (HIV) wypadły dodatnio – po zaprzestaniu kontaktów dyskwalifikacja na okres 12 miesięcy.</w:t>
            </w:r>
          </w:p>
        </w:tc>
      </w:tr>
      <w:tr w:rsidR="00EC105C" w14:paraId="1D182550" w14:textId="77777777" w:rsidTr="00EC105C">
        <w:tc>
          <w:tcPr>
            <w:tcW w:w="0" w:type="auto"/>
            <w:tcBorders>
              <w:top w:val="single" w:sz="4" w:space="0" w:color="auto"/>
              <w:left w:val="single" w:sz="4" w:space="0" w:color="auto"/>
              <w:bottom w:val="single" w:sz="4" w:space="0" w:color="auto"/>
              <w:right w:val="single" w:sz="4" w:space="0" w:color="auto"/>
            </w:tcBorders>
          </w:tcPr>
          <w:p w14:paraId="53B8BC78" w14:textId="77777777" w:rsidR="00EC105C" w:rsidRPr="00EC105C" w:rsidRDefault="00EC105C" w:rsidP="00EC105C">
            <w:pPr>
              <w:pStyle w:val="CZWSPP1wTABELIczwsppoziomu1numeracjiwtabeli"/>
            </w:pPr>
            <w:r w:rsidRPr="00EC105C">
              <w:t>4.</w:t>
            </w:r>
          </w:p>
        </w:tc>
        <w:tc>
          <w:tcPr>
            <w:tcW w:w="0" w:type="auto"/>
            <w:tcBorders>
              <w:top w:val="single" w:sz="4" w:space="0" w:color="auto"/>
              <w:left w:val="single" w:sz="4" w:space="0" w:color="auto"/>
              <w:bottom w:val="single" w:sz="4" w:space="0" w:color="auto"/>
              <w:right w:val="single" w:sz="4" w:space="0" w:color="auto"/>
            </w:tcBorders>
            <w:hideMark/>
          </w:tcPr>
          <w:p w14:paraId="71232A32" w14:textId="77777777" w:rsidR="00EC105C" w:rsidRPr="00EC105C" w:rsidRDefault="00EC105C" w:rsidP="00EC105C">
            <w:pPr>
              <w:pStyle w:val="CZWSPP1wTABELIczwsppoziomu1numeracjiwtabeli"/>
            </w:pPr>
            <w:r w:rsidRPr="00EC105C">
              <w:t>Kandydaci na dawców krwi albo dawcy krwi, którzy</w:t>
            </w:r>
            <w:r w:rsidRPr="00EC105C" w:rsidDel="00764850">
              <w:t xml:space="preserve"> </w:t>
            </w:r>
            <w:r w:rsidRPr="00EC105C">
              <w:t xml:space="preserve">przymusowo </w:t>
            </w:r>
            <w:r>
              <w:t>pozbawieni</w:t>
            </w:r>
            <w:r w:rsidRPr="00EC105C">
              <w:t xml:space="preserve"> wolności (pobyt w zakładzie karnym, areszcie śledczym lub w zakładzie poprawczym, schronisku dla nieletnich albo w innym miejscu, w których przebywają osoby</w:t>
            </w:r>
            <w:r w:rsidR="00A66489">
              <w:t>,</w:t>
            </w:r>
            <w:r w:rsidRPr="00EC105C">
              <w:t xml:space="preserve"> wobec których zastosowano środki zapobiegawcze o charakterze izolacyjnym)</w:t>
            </w:r>
            <w:r w:rsidR="002D4F6D">
              <w:t>.</w:t>
            </w:r>
          </w:p>
        </w:tc>
        <w:tc>
          <w:tcPr>
            <w:tcW w:w="0" w:type="auto"/>
            <w:tcBorders>
              <w:top w:val="single" w:sz="4" w:space="0" w:color="auto"/>
              <w:left w:val="single" w:sz="4" w:space="0" w:color="auto"/>
              <w:bottom w:val="single" w:sz="4" w:space="0" w:color="auto"/>
              <w:right w:val="single" w:sz="4" w:space="0" w:color="auto"/>
            </w:tcBorders>
            <w:hideMark/>
          </w:tcPr>
          <w:p w14:paraId="6D16C1DD" w14:textId="77777777" w:rsidR="00EC105C" w:rsidRPr="00EC105C" w:rsidRDefault="00EC105C" w:rsidP="00EC105C">
            <w:pPr>
              <w:pStyle w:val="CZWSPP1wTABELIczwsppoziomu1numeracjiwtabeli"/>
            </w:pPr>
            <w:r w:rsidRPr="00EC105C">
              <w:t>Okres przymusowego pozbawienia wolności i okres 6 miesięcy po zakończeniu przymusowego pozbawienia wolności albo 4 miesiące w przypadku, gdy badania metodami biologii molekularnej w kierunku wirusowego zapalenia wątroby typu B i C, a także HIV, dają wyniki ujemne</w:t>
            </w:r>
            <w:r w:rsidR="002D4F6D">
              <w:t>.</w:t>
            </w:r>
          </w:p>
        </w:tc>
      </w:tr>
      <w:tr w:rsidR="00EC105C" w14:paraId="607F75BA" w14:textId="77777777" w:rsidTr="00EC105C">
        <w:tc>
          <w:tcPr>
            <w:tcW w:w="0" w:type="auto"/>
            <w:tcBorders>
              <w:top w:val="single" w:sz="4" w:space="0" w:color="auto"/>
              <w:left w:val="single" w:sz="4" w:space="0" w:color="auto"/>
              <w:bottom w:val="single" w:sz="4" w:space="0" w:color="auto"/>
              <w:right w:val="single" w:sz="4" w:space="0" w:color="auto"/>
            </w:tcBorders>
          </w:tcPr>
          <w:p w14:paraId="425C2270" w14:textId="77777777" w:rsidR="00EC105C" w:rsidRPr="00EC105C" w:rsidRDefault="00EC105C" w:rsidP="00EC105C">
            <w:pPr>
              <w:pStyle w:val="CZWSPP1wTABELIczwsppoziomu1numeracjiwtabeli"/>
            </w:pPr>
            <w:r w:rsidRPr="00EC105C">
              <w:t>5.</w:t>
            </w:r>
          </w:p>
        </w:tc>
        <w:tc>
          <w:tcPr>
            <w:tcW w:w="0" w:type="auto"/>
            <w:tcBorders>
              <w:top w:val="single" w:sz="4" w:space="0" w:color="auto"/>
              <w:left w:val="single" w:sz="4" w:space="0" w:color="auto"/>
              <w:bottom w:val="single" w:sz="4" w:space="0" w:color="auto"/>
              <w:right w:val="single" w:sz="4" w:space="0" w:color="auto"/>
            </w:tcBorders>
            <w:hideMark/>
          </w:tcPr>
          <w:p w14:paraId="63A1FB40" w14:textId="77777777" w:rsidR="00EC105C" w:rsidRPr="00EC105C" w:rsidRDefault="00EC105C" w:rsidP="00EC105C">
            <w:pPr>
              <w:pStyle w:val="CZWSPP1wTABELIczwsppoziomu1numeracjiwtabeli"/>
            </w:pPr>
            <w:r w:rsidRPr="00EC105C">
              <w:t>Pobyt w krajach o dużej częstotliwości występowania nosicieli przeciwciał anty-</w:t>
            </w:r>
            <w:r w:rsidRPr="00EC105C">
              <w:lastRenderedPageBreak/>
              <w:t>HIV i chorych na AIDS</w:t>
            </w:r>
            <w:r w:rsidR="002D4F6D">
              <w:t>.</w:t>
            </w:r>
          </w:p>
        </w:tc>
        <w:tc>
          <w:tcPr>
            <w:tcW w:w="0" w:type="auto"/>
            <w:tcBorders>
              <w:top w:val="single" w:sz="4" w:space="0" w:color="auto"/>
              <w:left w:val="single" w:sz="4" w:space="0" w:color="auto"/>
              <w:bottom w:val="single" w:sz="4" w:space="0" w:color="auto"/>
              <w:right w:val="single" w:sz="4" w:space="0" w:color="auto"/>
            </w:tcBorders>
            <w:hideMark/>
          </w:tcPr>
          <w:p w14:paraId="5830BAEA" w14:textId="1AE304E7" w:rsidR="00EC105C" w:rsidRPr="00EC105C" w:rsidRDefault="00EC105C" w:rsidP="00EC105C">
            <w:pPr>
              <w:pStyle w:val="CZWSPP1wTABELIczwsppoziomu1numeracjiwtabeli"/>
            </w:pPr>
            <w:r w:rsidRPr="00EC105C">
              <w:lastRenderedPageBreak/>
              <w:t>6 miesięcy od dnia powrotu na terytorium Rzeczypospolitej Polskiej</w:t>
            </w:r>
            <w:r w:rsidR="002D4F6D">
              <w:t>.</w:t>
            </w:r>
          </w:p>
        </w:tc>
      </w:tr>
      <w:tr w:rsidR="00EC105C" w14:paraId="1D949ECE" w14:textId="77777777" w:rsidTr="00EC105C">
        <w:tc>
          <w:tcPr>
            <w:tcW w:w="0" w:type="auto"/>
            <w:tcBorders>
              <w:top w:val="single" w:sz="4" w:space="0" w:color="auto"/>
              <w:left w:val="single" w:sz="4" w:space="0" w:color="auto"/>
              <w:bottom w:val="single" w:sz="4" w:space="0" w:color="auto"/>
              <w:right w:val="single" w:sz="4" w:space="0" w:color="auto"/>
            </w:tcBorders>
          </w:tcPr>
          <w:p w14:paraId="14D44ECB" w14:textId="77777777" w:rsidR="00EC105C" w:rsidRPr="00EC105C" w:rsidRDefault="00EC105C" w:rsidP="00EC105C">
            <w:pPr>
              <w:pStyle w:val="CZWSPP1wTABELIczwsppoziomu1numeracjiwtabeli"/>
            </w:pPr>
            <w:r w:rsidRPr="00EC105C">
              <w:lastRenderedPageBreak/>
              <w:t>6.</w:t>
            </w:r>
          </w:p>
        </w:tc>
        <w:tc>
          <w:tcPr>
            <w:tcW w:w="0" w:type="auto"/>
            <w:tcBorders>
              <w:top w:val="single" w:sz="4" w:space="0" w:color="auto"/>
              <w:left w:val="single" w:sz="4" w:space="0" w:color="auto"/>
              <w:bottom w:val="single" w:sz="4" w:space="0" w:color="auto"/>
              <w:right w:val="single" w:sz="4" w:space="0" w:color="auto"/>
            </w:tcBorders>
            <w:hideMark/>
          </w:tcPr>
          <w:p w14:paraId="2FDF7CA4" w14:textId="7358EB2D" w:rsidR="00EC105C" w:rsidRPr="00EC105C" w:rsidRDefault="00EC105C" w:rsidP="00DF41B6">
            <w:pPr>
              <w:pStyle w:val="CZWSPP1wTABELIczwsppoziomu1numeracjiwtabeli"/>
            </w:pPr>
            <w:r w:rsidRPr="00EC105C">
              <w:t xml:space="preserve">Kontakt z </w:t>
            </w:r>
            <w:r w:rsidR="00DF41B6" w:rsidRPr="00DF41B6">
              <w:t xml:space="preserve">osobą chorą na chorobę zakaźną </w:t>
            </w:r>
            <w:r w:rsidRPr="00EC105C">
              <w:t>(poza wirusowym zapaleniem wątroby)</w:t>
            </w:r>
            <w:r w:rsidR="002D4F6D">
              <w:t>.</w:t>
            </w:r>
          </w:p>
        </w:tc>
        <w:tc>
          <w:tcPr>
            <w:tcW w:w="0" w:type="auto"/>
            <w:tcBorders>
              <w:top w:val="single" w:sz="4" w:space="0" w:color="auto"/>
              <w:left w:val="single" w:sz="4" w:space="0" w:color="auto"/>
              <w:bottom w:val="single" w:sz="4" w:space="0" w:color="auto"/>
              <w:right w:val="single" w:sz="4" w:space="0" w:color="auto"/>
            </w:tcBorders>
            <w:hideMark/>
          </w:tcPr>
          <w:p w14:paraId="2BBD7094" w14:textId="35431B74" w:rsidR="00EC105C" w:rsidRPr="00EC105C" w:rsidRDefault="00EC105C" w:rsidP="00EC105C">
            <w:pPr>
              <w:pStyle w:val="CZWSPP1wTABELIczwsppoziomu1numeracjiwtabeli"/>
            </w:pPr>
            <w:r w:rsidRPr="00EC105C">
              <w:t xml:space="preserve">Na czas odpowiadający dwukrotnemu  okresowi inkubacji, a w przypadku narażenia na zakażenie kilkoma </w:t>
            </w:r>
            <w:r w:rsidR="00DF41B6">
              <w:t>czynnikami</w:t>
            </w:r>
            <w:r w:rsidR="00DF41B6" w:rsidRPr="00DF41B6">
              <w:t xml:space="preserve"> chorobotwórczym</w:t>
            </w:r>
            <w:r w:rsidR="00DF41B6">
              <w:t>i</w:t>
            </w:r>
            <w:r w:rsidR="00DF41B6" w:rsidRPr="00DF41B6" w:rsidDel="00DF41B6">
              <w:t xml:space="preserve"> </w:t>
            </w:r>
            <w:r w:rsidRPr="00EC105C">
              <w:t>- dyskwalifikacja jak dla choroby o najdłuższym okresie inkubacji.</w:t>
            </w:r>
          </w:p>
        </w:tc>
      </w:tr>
      <w:tr w:rsidR="00EC105C" w14:paraId="53871A1A" w14:textId="77777777" w:rsidTr="00EC105C">
        <w:tc>
          <w:tcPr>
            <w:tcW w:w="0" w:type="auto"/>
            <w:tcBorders>
              <w:top w:val="single" w:sz="4" w:space="0" w:color="auto"/>
              <w:left w:val="single" w:sz="4" w:space="0" w:color="auto"/>
              <w:bottom w:val="single" w:sz="4" w:space="0" w:color="auto"/>
              <w:right w:val="single" w:sz="4" w:space="0" w:color="auto"/>
            </w:tcBorders>
          </w:tcPr>
          <w:p w14:paraId="699D11C9" w14:textId="77777777" w:rsidR="00EC105C" w:rsidRPr="00EC105C" w:rsidRDefault="00EC105C" w:rsidP="00EC105C">
            <w:pPr>
              <w:pStyle w:val="CZWSPP1wTABELIczwsppoziomu1numeracjiwtabeli"/>
            </w:pPr>
            <w:r w:rsidRPr="00EC105C">
              <w:t>7.</w:t>
            </w:r>
          </w:p>
        </w:tc>
        <w:tc>
          <w:tcPr>
            <w:tcW w:w="0" w:type="auto"/>
            <w:tcBorders>
              <w:top w:val="single" w:sz="4" w:space="0" w:color="auto"/>
              <w:left w:val="single" w:sz="4" w:space="0" w:color="auto"/>
              <w:bottom w:val="single" w:sz="4" w:space="0" w:color="auto"/>
              <w:right w:val="single" w:sz="4" w:space="0" w:color="auto"/>
            </w:tcBorders>
            <w:hideMark/>
          </w:tcPr>
          <w:p w14:paraId="49C03AC3" w14:textId="77777777" w:rsidR="00EC105C" w:rsidRPr="00EC105C" w:rsidRDefault="00EC105C" w:rsidP="00EC105C">
            <w:pPr>
              <w:pStyle w:val="CZWSPP1wTABELIczwsppoziomu1numeracjiwtabeli"/>
            </w:pPr>
            <w:r w:rsidRPr="00EC105C">
              <w:t>Powrót z obszaru endemicznego występowania chorób tropikalnych</w:t>
            </w:r>
            <w:r w:rsidR="002D4F6D">
              <w:t>.</w:t>
            </w:r>
          </w:p>
        </w:tc>
        <w:tc>
          <w:tcPr>
            <w:tcW w:w="0" w:type="auto"/>
            <w:tcBorders>
              <w:top w:val="single" w:sz="4" w:space="0" w:color="auto"/>
              <w:left w:val="single" w:sz="4" w:space="0" w:color="auto"/>
              <w:bottom w:val="single" w:sz="4" w:space="0" w:color="auto"/>
              <w:right w:val="single" w:sz="4" w:space="0" w:color="auto"/>
            </w:tcBorders>
            <w:hideMark/>
          </w:tcPr>
          <w:p w14:paraId="6E9B3682" w14:textId="77777777" w:rsidR="00EC105C" w:rsidRPr="00EC105C" w:rsidRDefault="00EC105C" w:rsidP="00EC105C">
            <w:pPr>
              <w:pStyle w:val="CZWSPP1wTABELIczwsppoziomu1numeracjiwtabeli"/>
            </w:pPr>
            <w:r w:rsidRPr="00EC105C">
              <w:t>6 miesięcy od dnia powrotu na terytorium Rzeczypospolitej Polskiej, jeżeli w tym czasie nie wystąpiła niewyjaśniona gorączka lub inne objawy choroby</w:t>
            </w:r>
            <w:r w:rsidR="002D4F6D">
              <w:t>.</w:t>
            </w:r>
          </w:p>
        </w:tc>
      </w:tr>
    </w:tbl>
    <w:p w14:paraId="01014179" w14:textId="77777777" w:rsidR="00264AE1" w:rsidRPr="00264AE1" w:rsidRDefault="00264AE1" w:rsidP="00264AE1"/>
    <w:p w14:paraId="28397342" w14:textId="77777777" w:rsidR="00264AE1" w:rsidRPr="00264AE1" w:rsidRDefault="00264AE1" w:rsidP="00F7754F">
      <w:pPr>
        <w:pStyle w:val="NIEARTTEKSTtekstnieartykuowanynppodstprawnarozplubpreambua"/>
      </w:pPr>
      <w:r w:rsidRPr="00264AE1">
        <w:t>2.2.3 Szczepienia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612"/>
        <w:gridCol w:w="4983"/>
      </w:tblGrid>
      <w:tr w:rsidR="002D4F6D" w14:paraId="69C5B3A8" w14:textId="77777777" w:rsidTr="002D4F6D">
        <w:tc>
          <w:tcPr>
            <w:tcW w:w="675" w:type="dxa"/>
            <w:tcBorders>
              <w:top w:val="single" w:sz="4" w:space="0" w:color="auto"/>
              <w:left w:val="single" w:sz="4" w:space="0" w:color="auto"/>
              <w:bottom w:val="single" w:sz="4" w:space="0" w:color="auto"/>
              <w:right w:val="single" w:sz="4" w:space="0" w:color="auto"/>
            </w:tcBorders>
          </w:tcPr>
          <w:p w14:paraId="3F077C93" w14:textId="77777777" w:rsidR="002D4F6D" w:rsidRPr="00F7754F" w:rsidRDefault="002D4F6D" w:rsidP="00F7754F">
            <w:pPr>
              <w:pStyle w:val="TEKSTwTABELIWYRODKOWANYtekstwyrodkowanywpoziomie"/>
              <w:rPr>
                <w:rStyle w:val="Ppogrubienie"/>
              </w:rPr>
            </w:pPr>
            <w:r>
              <w:rPr>
                <w:rStyle w:val="Ppogrubienie"/>
              </w:rPr>
              <w:t xml:space="preserve">Lp. </w:t>
            </w:r>
          </w:p>
        </w:tc>
        <w:tc>
          <w:tcPr>
            <w:tcW w:w="3612" w:type="dxa"/>
            <w:tcBorders>
              <w:top w:val="single" w:sz="4" w:space="0" w:color="auto"/>
              <w:left w:val="single" w:sz="4" w:space="0" w:color="auto"/>
              <w:bottom w:val="single" w:sz="4" w:space="0" w:color="auto"/>
              <w:right w:val="single" w:sz="4" w:space="0" w:color="auto"/>
            </w:tcBorders>
            <w:hideMark/>
          </w:tcPr>
          <w:p w14:paraId="1D42F154" w14:textId="77777777" w:rsidR="002D4F6D" w:rsidRPr="00F7754F" w:rsidRDefault="002D4F6D" w:rsidP="00F7754F">
            <w:pPr>
              <w:pStyle w:val="TEKSTwTABELIWYRODKOWANYtekstwyrodkowanywpoziomie"/>
              <w:rPr>
                <w:rStyle w:val="Ppogrubienie"/>
              </w:rPr>
            </w:pPr>
            <w:r w:rsidRPr="00F7754F">
              <w:rPr>
                <w:rStyle w:val="Ppogrubienie"/>
              </w:rPr>
              <w:t>Kryterium</w:t>
            </w:r>
          </w:p>
        </w:tc>
        <w:tc>
          <w:tcPr>
            <w:tcW w:w="0" w:type="auto"/>
            <w:tcBorders>
              <w:top w:val="single" w:sz="4" w:space="0" w:color="auto"/>
              <w:left w:val="single" w:sz="4" w:space="0" w:color="auto"/>
              <w:bottom w:val="single" w:sz="4" w:space="0" w:color="auto"/>
              <w:right w:val="single" w:sz="4" w:space="0" w:color="auto"/>
            </w:tcBorders>
            <w:hideMark/>
          </w:tcPr>
          <w:p w14:paraId="2C30DE1C" w14:textId="77777777" w:rsidR="002D4F6D" w:rsidRPr="00F7754F" w:rsidRDefault="002D4F6D" w:rsidP="00F7754F">
            <w:pPr>
              <w:pStyle w:val="TEKSTwTABELIWYRODKOWANYtekstwyrodkowanywpoziomie"/>
              <w:rPr>
                <w:rStyle w:val="Ppogrubienie"/>
              </w:rPr>
            </w:pPr>
            <w:r w:rsidRPr="00F7754F">
              <w:rPr>
                <w:rStyle w:val="Ppogrubienie"/>
              </w:rPr>
              <w:t>Szczegółowy opis kryterium oraz warunki pobierania krwi od kandydata na dawcę krwi albo dawcy krwi</w:t>
            </w:r>
          </w:p>
        </w:tc>
      </w:tr>
      <w:tr w:rsidR="002D4F6D" w14:paraId="210C5A44" w14:textId="77777777" w:rsidTr="002D4F6D">
        <w:tc>
          <w:tcPr>
            <w:tcW w:w="675" w:type="dxa"/>
            <w:tcBorders>
              <w:top w:val="single" w:sz="4" w:space="0" w:color="auto"/>
              <w:left w:val="single" w:sz="4" w:space="0" w:color="auto"/>
              <w:bottom w:val="single" w:sz="4" w:space="0" w:color="auto"/>
              <w:right w:val="single" w:sz="4" w:space="0" w:color="auto"/>
            </w:tcBorders>
          </w:tcPr>
          <w:p w14:paraId="608A2BEA" w14:textId="77777777" w:rsidR="002D4F6D" w:rsidRPr="00264AE1" w:rsidRDefault="002D4F6D" w:rsidP="00F7754F">
            <w:pPr>
              <w:pStyle w:val="CZWSPP1wTABELIczwsppoziomu1numeracjiwtabeli"/>
            </w:pPr>
            <w:r>
              <w:t xml:space="preserve">1. </w:t>
            </w:r>
          </w:p>
        </w:tc>
        <w:tc>
          <w:tcPr>
            <w:tcW w:w="3612" w:type="dxa"/>
            <w:tcBorders>
              <w:top w:val="single" w:sz="4" w:space="0" w:color="auto"/>
              <w:left w:val="single" w:sz="4" w:space="0" w:color="auto"/>
              <w:bottom w:val="single" w:sz="4" w:space="0" w:color="auto"/>
              <w:right w:val="single" w:sz="4" w:space="0" w:color="auto"/>
            </w:tcBorders>
            <w:hideMark/>
          </w:tcPr>
          <w:p w14:paraId="2FC3A1D3" w14:textId="77777777" w:rsidR="002D4F6D" w:rsidRPr="00264AE1" w:rsidRDefault="002D4F6D" w:rsidP="00F7754F">
            <w:pPr>
              <w:pStyle w:val="CZWSPP1wTABELIczwsppoziomu1numeracjiwtabeli"/>
            </w:pPr>
            <w:r w:rsidRPr="00264AE1">
              <w:t xml:space="preserve">Wirusy lub bakterie </w:t>
            </w:r>
            <w:proofErr w:type="spellStart"/>
            <w:r w:rsidRPr="00264AE1">
              <w:t>atenuowane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F23F21E" w14:textId="77777777" w:rsidR="002D4F6D" w:rsidRPr="00264AE1" w:rsidRDefault="002D4F6D" w:rsidP="00F7754F">
            <w:pPr>
              <w:pStyle w:val="CZWSPP1wTABELIczwsppoziomu1numeracjiwtabeli"/>
            </w:pPr>
            <w:r w:rsidRPr="00264AE1">
              <w:t>4 tygodnie</w:t>
            </w:r>
          </w:p>
        </w:tc>
      </w:tr>
      <w:tr w:rsidR="002D4F6D" w14:paraId="1CE55012" w14:textId="77777777" w:rsidTr="002D4F6D">
        <w:tc>
          <w:tcPr>
            <w:tcW w:w="675" w:type="dxa"/>
            <w:tcBorders>
              <w:top w:val="single" w:sz="4" w:space="0" w:color="auto"/>
              <w:left w:val="single" w:sz="4" w:space="0" w:color="auto"/>
              <w:bottom w:val="single" w:sz="4" w:space="0" w:color="auto"/>
              <w:right w:val="single" w:sz="4" w:space="0" w:color="auto"/>
            </w:tcBorders>
          </w:tcPr>
          <w:p w14:paraId="71EFB5CC" w14:textId="77777777" w:rsidR="002D4F6D" w:rsidRPr="00264AE1" w:rsidRDefault="002D4F6D" w:rsidP="00F7754F">
            <w:pPr>
              <w:pStyle w:val="CZWSPP1wTABELIczwsppoziomu1numeracjiwtabeli"/>
            </w:pPr>
            <w:r>
              <w:t xml:space="preserve">2. </w:t>
            </w:r>
          </w:p>
        </w:tc>
        <w:tc>
          <w:tcPr>
            <w:tcW w:w="3612" w:type="dxa"/>
            <w:tcBorders>
              <w:top w:val="single" w:sz="4" w:space="0" w:color="auto"/>
              <w:left w:val="single" w:sz="4" w:space="0" w:color="auto"/>
              <w:bottom w:val="single" w:sz="4" w:space="0" w:color="auto"/>
              <w:right w:val="single" w:sz="4" w:space="0" w:color="auto"/>
            </w:tcBorders>
            <w:hideMark/>
          </w:tcPr>
          <w:p w14:paraId="141E3DCF" w14:textId="77777777" w:rsidR="002D4F6D" w:rsidRPr="00264AE1" w:rsidRDefault="002D4F6D" w:rsidP="00F7754F">
            <w:pPr>
              <w:pStyle w:val="CZWSPP1wTABELIczwsppoziomu1numeracjiwtabeli"/>
            </w:pPr>
            <w:r w:rsidRPr="00264AE1">
              <w:t>Inaktywowane/zabite wirusy, bakterie lub riketsje</w:t>
            </w:r>
          </w:p>
        </w:tc>
        <w:tc>
          <w:tcPr>
            <w:tcW w:w="0" w:type="auto"/>
            <w:tcBorders>
              <w:top w:val="single" w:sz="4" w:space="0" w:color="auto"/>
              <w:left w:val="single" w:sz="4" w:space="0" w:color="auto"/>
              <w:bottom w:val="single" w:sz="4" w:space="0" w:color="auto"/>
              <w:right w:val="single" w:sz="4" w:space="0" w:color="auto"/>
            </w:tcBorders>
            <w:hideMark/>
          </w:tcPr>
          <w:p w14:paraId="6735FAD9" w14:textId="77777777" w:rsidR="002D4F6D" w:rsidRPr="00264AE1" w:rsidRDefault="002D4F6D" w:rsidP="00F7754F">
            <w:pPr>
              <w:pStyle w:val="CZWSPP1wTABELIczwsppoziomu1numeracjiwtabeli"/>
            </w:pPr>
            <w:r w:rsidRPr="00264AE1">
              <w:t>48 godzin</w:t>
            </w:r>
          </w:p>
        </w:tc>
      </w:tr>
      <w:tr w:rsidR="002D4F6D" w14:paraId="52C6BEBA" w14:textId="77777777" w:rsidTr="002D4F6D">
        <w:tc>
          <w:tcPr>
            <w:tcW w:w="675" w:type="dxa"/>
            <w:tcBorders>
              <w:top w:val="single" w:sz="4" w:space="0" w:color="auto"/>
              <w:left w:val="single" w:sz="4" w:space="0" w:color="auto"/>
              <w:bottom w:val="single" w:sz="4" w:space="0" w:color="auto"/>
              <w:right w:val="single" w:sz="4" w:space="0" w:color="auto"/>
            </w:tcBorders>
          </w:tcPr>
          <w:p w14:paraId="243D71F8" w14:textId="77777777" w:rsidR="002D4F6D" w:rsidRPr="00264AE1" w:rsidRDefault="002D4F6D" w:rsidP="00F7754F">
            <w:pPr>
              <w:pStyle w:val="CZWSPP1wTABELIczwsppoziomu1numeracjiwtabeli"/>
            </w:pPr>
            <w:r>
              <w:t xml:space="preserve">3. </w:t>
            </w:r>
          </w:p>
        </w:tc>
        <w:tc>
          <w:tcPr>
            <w:tcW w:w="3612" w:type="dxa"/>
            <w:tcBorders>
              <w:top w:val="single" w:sz="4" w:space="0" w:color="auto"/>
              <w:left w:val="single" w:sz="4" w:space="0" w:color="auto"/>
              <w:bottom w:val="single" w:sz="4" w:space="0" w:color="auto"/>
              <w:right w:val="single" w:sz="4" w:space="0" w:color="auto"/>
            </w:tcBorders>
            <w:hideMark/>
          </w:tcPr>
          <w:p w14:paraId="644A101B" w14:textId="77777777" w:rsidR="002D4F6D" w:rsidRPr="00264AE1" w:rsidRDefault="002D4F6D" w:rsidP="00F7754F">
            <w:pPr>
              <w:pStyle w:val="CZWSPP1wTABELIczwsppoziomu1numeracjiwtabeli"/>
            </w:pPr>
            <w:r w:rsidRPr="00264AE1">
              <w:t>Anatoksyny</w:t>
            </w:r>
          </w:p>
        </w:tc>
        <w:tc>
          <w:tcPr>
            <w:tcW w:w="0" w:type="auto"/>
            <w:tcBorders>
              <w:top w:val="single" w:sz="4" w:space="0" w:color="auto"/>
              <w:left w:val="single" w:sz="4" w:space="0" w:color="auto"/>
              <w:bottom w:val="single" w:sz="4" w:space="0" w:color="auto"/>
              <w:right w:val="single" w:sz="4" w:space="0" w:color="auto"/>
            </w:tcBorders>
            <w:hideMark/>
          </w:tcPr>
          <w:p w14:paraId="0858D3EC" w14:textId="77777777" w:rsidR="002D4F6D" w:rsidRPr="00264AE1" w:rsidRDefault="002D4F6D" w:rsidP="00F7754F">
            <w:pPr>
              <w:pStyle w:val="CZWSPP1wTABELIczwsppoziomu1numeracjiwtabeli"/>
            </w:pPr>
            <w:r w:rsidRPr="00264AE1">
              <w:t>48 godzin</w:t>
            </w:r>
          </w:p>
        </w:tc>
      </w:tr>
      <w:tr w:rsidR="002D4F6D" w14:paraId="1B179DE4" w14:textId="77777777" w:rsidTr="002D4F6D">
        <w:tc>
          <w:tcPr>
            <w:tcW w:w="675" w:type="dxa"/>
            <w:tcBorders>
              <w:top w:val="single" w:sz="4" w:space="0" w:color="auto"/>
              <w:left w:val="single" w:sz="4" w:space="0" w:color="auto"/>
              <w:bottom w:val="single" w:sz="4" w:space="0" w:color="auto"/>
              <w:right w:val="single" w:sz="4" w:space="0" w:color="auto"/>
            </w:tcBorders>
          </w:tcPr>
          <w:p w14:paraId="2D8FD60A" w14:textId="77777777" w:rsidR="002D4F6D" w:rsidRPr="00264AE1" w:rsidRDefault="002D4F6D" w:rsidP="00F7754F">
            <w:pPr>
              <w:pStyle w:val="CZWSPP1wTABELIczwsppoziomu1numeracjiwtabeli"/>
            </w:pPr>
            <w:r>
              <w:t xml:space="preserve">4. </w:t>
            </w:r>
          </w:p>
        </w:tc>
        <w:tc>
          <w:tcPr>
            <w:tcW w:w="3612" w:type="dxa"/>
            <w:tcBorders>
              <w:top w:val="single" w:sz="4" w:space="0" w:color="auto"/>
              <w:left w:val="single" w:sz="4" w:space="0" w:color="auto"/>
              <w:bottom w:val="single" w:sz="4" w:space="0" w:color="auto"/>
              <w:right w:val="single" w:sz="4" w:space="0" w:color="auto"/>
            </w:tcBorders>
            <w:hideMark/>
          </w:tcPr>
          <w:p w14:paraId="021309C4" w14:textId="77777777" w:rsidR="002D4F6D" w:rsidRPr="00264AE1" w:rsidRDefault="002D4F6D" w:rsidP="00F7754F">
            <w:pPr>
              <w:pStyle w:val="CZWSPP1wTABELIczwsppoziomu1numeracjiwtabeli"/>
            </w:pPr>
            <w:r w:rsidRPr="00264AE1">
              <w:t>WZW typu A</w:t>
            </w:r>
          </w:p>
        </w:tc>
        <w:tc>
          <w:tcPr>
            <w:tcW w:w="0" w:type="auto"/>
            <w:tcBorders>
              <w:top w:val="single" w:sz="4" w:space="0" w:color="auto"/>
              <w:left w:val="single" w:sz="4" w:space="0" w:color="auto"/>
              <w:bottom w:val="single" w:sz="4" w:space="0" w:color="auto"/>
              <w:right w:val="single" w:sz="4" w:space="0" w:color="auto"/>
            </w:tcBorders>
            <w:hideMark/>
          </w:tcPr>
          <w:p w14:paraId="2F6A464C" w14:textId="77777777" w:rsidR="002D4F6D" w:rsidRPr="00264AE1" w:rsidRDefault="002D4F6D" w:rsidP="00F7754F">
            <w:pPr>
              <w:pStyle w:val="CZWSPP1wTABELIczwsppoziomu1numeracjiwtabeli"/>
            </w:pPr>
            <w:r w:rsidRPr="00264AE1">
              <w:t>48 godzin, pod warunkiem braku ekspozycji na zakażenie</w:t>
            </w:r>
          </w:p>
        </w:tc>
      </w:tr>
      <w:tr w:rsidR="002D4F6D" w14:paraId="795154EA" w14:textId="77777777" w:rsidTr="002D4F6D">
        <w:tc>
          <w:tcPr>
            <w:tcW w:w="675" w:type="dxa"/>
            <w:tcBorders>
              <w:top w:val="single" w:sz="4" w:space="0" w:color="auto"/>
              <w:left w:val="single" w:sz="4" w:space="0" w:color="auto"/>
              <w:bottom w:val="single" w:sz="4" w:space="0" w:color="auto"/>
              <w:right w:val="single" w:sz="4" w:space="0" w:color="auto"/>
            </w:tcBorders>
          </w:tcPr>
          <w:p w14:paraId="7410FADB" w14:textId="77777777" w:rsidR="002D4F6D" w:rsidRPr="00264AE1" w:rsidRDefault="002D4F6D" w:rsidP="00F7754F">
            <w:pPr>
              <w:pStyle w:val="CZWSPP1wTABELIczwsppoziomu1numeracjiwtabeli"/>
            </w:pPr>
            <w:r>
              <w:t xml:space="preserve">5. </w:t>
            </w:r>
          </w:p>
        </w:tc>
        <w:tc>
          <w:tcPr>
            <w:tcW w:w="3612" w:type="dxa"/>
            <w:tcBorders>
              <w:top w:val="single" w:sz="4" w:space="0" w:color="auto"/>
              <w:left w:val="single" w:sz="4" w:space="0" w:color="auto"/>
              <w:bottom w:val="single" w:sz="4" w:space="0" w:color="auto"/>
              <w:right w:val="single" w:sz="4" w:space="0" w:color="auto"/>
            </w:tcBorders>
            <w:hideMark/>
          </w:tcPr>
          <w:p w14:paraId="4A74AB41" w14:textId="77777777" w:rsidR="002D4F6D" w:rsidRPr="00264AE1" w:rsidRDefault="002D4F6D" w:rsidP="00F7754F">
            <w:pPr>
              <w:pStyle w:val="CZWSPP1wTABELIczwsppoziomu1numeracjiwtabeli"/>
            </w:pPr>
            <w:r w:rsidRPr="00264AE1">
              <w:t>WZW typu B</w:t>
            </w:r>
          </w:p>
        </w:tc>
        <w:tc>
          <w:tcPr>
            <w:tcW w:w="0" w:type="auto"/>
            <w:tcBorders>
              <w:top w:val="single" w:sz="4" w:space="0" w:color="auto"/>
              <w:left w:val="single" w:sz="4" w:space="0" w:color="auto"/>
              <w:bottom w:val="single" w:sz="4" w:space="0" w:color="auto"/>
              <w:right w:val="single" w:sz="4" w:space="0" w:color="auto"/>
            </w:tcBorders>
            <w:hideMark/>
          </w:tcPr>
          <w:p w14:paraId="78DAB4A7" w14:textId="77777777" w:rsidR="002D4F6D" w:rsidRPr="00264AE1" w:rsidRDefault="001A7C94" w:rsidP="00F7754F">
            <w:pPr>
              <w:pStyle w:val="CZWSPP1wTABELIczwsppoziomu1numeracjiwtabeli"/>
            </w:pPr>
            <w:r>
              <w:t>2 tygodnie</w:t>
            </w:r>
            <w:r w:rsidR="002D4F6D" w:rsidRPr="00264AE1">
              <w:t>, pod warunkiem braku ekspozycji na zakażenie</w:t>
            </w:r>
          </w:p>
        </w:tc>
      </w:tr>
      <w:tr w:rsidR="002D4F6D" w14:paraId="6E4D14E1" w14:textId="77777777" w:rsidTr="002D4F6D">
        <w:tc>
          <w:tcPr>
            <w:tcW w:w="675" w:type="dxa"/>
            <w:tcBorders>
              <w:top w:val="single" w:sz="4" w:space="0" w:color="auto"/>
              <w:left w:val="single" w:sz="4" w:space="0" w:color="auto"/>
              <w:bottom w:val="single" w:sz="4" w:space="0" w:color="auto"/>
              <w:right w:val="single" w:sz="4" w:space="0" w:color="auto"/>
            </w:tcBorders>
          </w:tcPr>
          <w:p w14:paraId="403384BA" w14:textId="77777777" w:rsidR="002D4F6D" w:rsidRPr="00264AE1" w:rsidRDefault="002D4F6D" w:rsidP="00F7754F">
            <w:pPr>
              <w:pStyle w:val="CZWSPP1wTABELIczwsppoziomu1numeracjiwtabeli"/>
            </w:pPr>
            <w:r>
              <w:t xml:space="preserve">6. </w:t>
            </w:r>
          </w:p>
        </w:tc>
        <w:tc>
          <w:tcPr>
            <w:tcW w:w="3612" w:type="dxa"/>
            <w:tcBorders>
              <w:top w:val="single" w:sz="4" w:space="0" w:color="auto"/>
              <w:left w:val="single" w:sz="4" w:space="0" w:color="auto"/>
              <w:bottom w:val="single" w:sz="4" w:space="0" w:color="auto"/>
              <w:right w:val="single" w:sz="4" w:space="0" w:color="auto"/>
            </w:tcBorders>
            <w:hideMark/>
          </w:tcPr>
          <w:p w14:paraId="1377A6D2" w14:textId="77777777" w:rsidR="002D4F6D" w:rsidRPr="00264AE1" w:rsidRDefault="002D4F6D" w:rsidP="00F7754F">
            <w:pPr>
              <w:pStyle w:val="CZWSPP1wTABELIczwsppoziomu1numeracjiwtabeli"/>
            </w:pPr>
            <w:r w:rsidRPr="00264AE1">
              <w:t>Wścieklizna</w:t>
            </w:r>
          </w:p>
        </w:tc>
        <w:tc>
          <w:tcPr>
            <w:tcW w:w="0" w:type="auto"/>
            <w:tcBorders>
              <w:top w:val="single" w:sz="4" w:space="0" w:color="auto"/>
              <w:left w:val="single" w:sz="4" w:space="0" w:color="auto"/>
              <w:bottom w:val="single" w:sz="4" w:space="0" w:color="auto"/>
              <w:right w:val="single" w:sz="4" w:space="0" w:color="auto"/>
            </w:tcBorders>
            <w:hideMark/>
          </w:tcPr>
          <w:p w14:paraId="70477232" w14:textId="77777777" w:rsidR="002D4F6D" w:rsidRPr="00264AE1" w:rsidRDefault="002D4F6D" w:rsidP="00F7754F">
            <w:pPr>
              <w:pStyle w:val="CZWSPP1wTABELIczwsppoziomu1numeracjiwtabeli"/>
            </w:pPr>
            <w:r w:rsidRPr="00264AE1">
              <w:t>48 godzin</w:t>
            </w:r>
          </w:p>
          <w:p w14:paraId="7FF4D2EF" w14:textId="77777777" w:rsidR="002D4F6D" w:rsidRPr="00264AE1" w:rsidRDefault="002D4F6D" w:rsidP="00F7754F">
            <w:pPr>
              <w:pStyle w:val="CZWSPP1wTABELIczwsppoziomu1numeracjiwtabeli"/>
            </w:pPr>
            <w:r w:rsidRPr="00264AE1">
              <w:t>W razie ryzyka za</w:t>
            </w:r>
            <w:r w:rsidR="001A7C94">
              <w:t>k</w:t>
            </w:r>
            <w:r w:rsidRPr="00264AE1">
              <w:t>ażenia - dyskwalifikacja na okres 1 roku</w:t>
            </w:r>
          </w:p>
        </w:tc>
      </w:tr>
      <w:tr w:rsidR="002D4F6D" w14:paraId="1984D7BB" w14:textId="77777777" w:rsidTr="002D4F6D">
        <w:tc>
          <w:tcPr>
            <w:tcW w:w="675" w:type="dxa"/>
            <w:tcBorders>
              <w:top w:val="single" w:sz="4" w:space="0" w:color="auto"/>
              <w:left w:val="single" w:sz="4" w:space="0" w:color="auto"/>
              <w:bottom w:val="single" w:sz="4" w:space="0" w:color="auto"/>
              <w:right w:val="single" w:sz="4" w:space="0" w:color="auto"/>
            </w:tcBorders>
          </w:tcPr>
          <w:p w14:paraId="1E26F7E6" w14:textId="77777777" w:rsidR="002D4F6D" w:rsidRPr="00264AE1" w:rsidRDefault="002D4F6D" w:rsidP="00F7754F">
            <w:pPr>
              <w:pStyle w:val="CZWSPP1wTABELIczwsppoziomu1numeracjiwtabeli"/>
            </w:pPr>
            <w:r>
              <w:t xml:space="preserve">7. </w:t>
            </w:r>
          </w:p>
        </w:tc>
        <w:tc>
          <w:tcPr>
            <w:tcW w:w="3612" w:type="dxa"/>
            <w:tcBorders>
              <w:top w:val="single" w:sz="4" w:space="0" w:color="auto"/>
              <w:left w:val="single" w:sz="4" w:space="0" w:color="auto"/>
              <w:bottom w:val="single" w:sz="4" w:space="0" w:color="auto"/>
              <w:right w:val="single" w:sz="4" w:space="0" w:color="auto"/>
            </w:tcBorders>
            <w:hideMark/>
          </w:tcPr>
          <w:p w14:paraId="5800E548" w14:textId="77777777" w:rsidR="002D4F6D" w:rsidRPr="00264AE1" w:rsidRDefault="002D4F6D" w:rsidP="00F7754F">
            <w:pPr>
              <w:pStyle w:val="CZWSPP1wTABELIczwsppoziomu1numeracjiwtabeli"/>
            </w:pPr>
            <w:r w:rsidRPr="00264AE1">
              <w:t>Kleszczowe zapalenie mózgu</w:t>
            </w:r>
          </w:p>
        </w:tc>
        <w:tc>
          <w:tcPr>
            <w:tcW w:w="0" w:type="auto"/>
            <w:tcBorders>
              <w:top w:val="single" w:sz="4" w:space="0" w:color="auto"/>
              <w:left w:val="single" w:sz="4" w:space="0" w:color="auto"/>
              <w:bottom w:val="single" w:sz="4" w:space="0" w:color="auto"/>
              <w:right w:val="single" w:sz="4" w:space="0" w:color="auto"/>
            </w:tcBorders>
            <w:hideMark/>
          </w:tcPr>
          <w:p w14:paraId="3568D3DF" w14:textId="77777777" w:rsidR="002D4F6D" w:rsidRPr="00264AE1" w:rsidRDefault="002D4F6D" w:rsidP="00F7754F">
            <w:pPr>
              <w:pStyle w:val="CZWSPP1wTABELIczwsppoziomu1numeracjiwtabeli"/>
            </w:pPr>
            <w:r w:rsidRPr="00264AE1">
              <w:t>48 godzin</w:t>
            </w:r>
          </w:p>
          <w:p w14:paraId="1194EE40" w14:textId="6A80FF97" w:rsidR="002D4F6D" w:rsidRPr="00264AE1" w:rsidRDefault="002D4F6D" w:rsidP="00A503E8">
            <w:pPr>
              <w:pStyle w:val="CZWSPP1wTABELIczwsppoziomu1numeracjiwtabeli"/>
            </w:pPr>
            <w:r w:rsidRPr="00264AE1">
              <w:t xml:space="preserve">W razie ryzyka </w:t>
            </w:r>
            <w:r w:rsidR="00A503E8" w:rsidRPr="00A503E8">
              <w:t>zakażeni</w:t>
            </w:r>
            <w:r w:rsidR="00A503E8">
              <w:t>a</w:t>
            </w:r>
            <w:r w:rsidR="00A503E8" w:rsidRPr="00264AE1" w:rsidDel="00A503E8">
              <w:t xml:space="preserve"> </w:t>
            </w:r>
            <w:r w:rsidRPr="00264AE1">
              <w:t>- dyskwalifikacja na okres 1 roku</w:t>
            </w:r>
          </w:p>
        </w:tc>
      </w:tr>
      <w:tr w:rsidR="002D4F6D" w14:paraId="3662C2D5" w14:textId="77777777" w:rsidTr="002D4F6D">
        <w:tc>
          <w:tcPr>
            <w:tcW w:w="675" w:type="dxa"/>
            <w:tcBorders>
              <w:top w:val="single" w:sz="4" w:space="0" w:color="auto"/>
              <w:left w:val="single" w:sz="4" w:space="0" w:color="auto"/>
              <w:bottom w:val="single" w:sz="4" w:space="0" w:color="auto"/>
              <w:right w:val="single" w:sz="4" w:space="0" w:color="auto"/>
            </w:tcBorders>
          </w:tcPr>
          <w:p w14:paraId="1854E98B" w14:textId="77777777" w:rsidR="002D4F6D" w:rsidRPr="00264AE1" w:rsidRDefault="002D4F6D" w:rsidP="00F7754F">
            <w:pPr>
              <w:pStyle w:val="CZWSPP1wTABELIczwsppoziomu1numeracjiwtabeli"/>
            </w:pPr>
            <w:r>
              <w:t xml:space="preserve">8. </w:t>
            </w:r>
          </w:p>
        </w:tc>
        <w:tc>
          <w:tcPr>
            <w:tcW w:w="3612" w:type="dxa"/>
            <w:tcBorders>
              <w:top w:val="single" w:sz="4" w:space="0" w:color="auto"/>
              <w:left w:val="single" w:sz="4" w:space="0" w:color="auto"/>
              <w:bottom w:val="single" w:sz="4" w:space="0" w:color="auto"/>
              <w:right w:val="single" w:sz="4" w:space="0" w:color="auto"/>
            </w:tcBorders>
            <w:hideMark/>
          </w:tcPr>
          <w:p w14:paraId="0C902D5A" w14:textId="77777777" w:rsidR="002D4F6D" w:rsidRPr="00264AE1" w:rsidRDefault="002D4F6D" w:rsidP="00F7754F">
            <w:pPr>
              <w:pStyle w:val="CZWSPP1wTABELIczwsppoziomu1numeracjiwtabeli"/>
            </w:pPr>
            <w:r w:rsidRPr="00264AE1">
              <w:t xml:space="preserve">Poddanie się biernemu </w:t>
            </w:r>
            <w:r w:rsidRPr="00264AE1">
              <w:lastRenderedPageBreak/>
              <w:t>uodpornianiu surowicami odzwierzęcymi</w:t>
            </w:r>
          </w:p>
        </w:tc>
        <w:tc>
          <w:tcPr>
            <w:tcW w:w="0" w:type="auto"/>
            <w:tcBorders>
              <w:top w:val="single" w:sz="4" w:space="0" w:color="auto"/>
              <w:left w:val="single" w:sz="4" w:space="0" w:color="auto"/>
              <w:bottom w:val="single" w:sz="4" w:space="0" w:color="auto"/>
              <w:right w:val="single" w:sz="4" w:space="0" w:color="auto"/>
            </w:tcBorders>
            <w:hideMark/>
          </w:tcPr>
          <w:p w14:paraId="12287D7C" w14:textId="77777777" w:rsidR="002D4F6D" w:rsidRPr="00264AE1" w:rsidRDefault="002D4F6D" w:rsidP="00F7754F">
            <w:pPr>
              <w:pStyle w:val="CZWSPP1wTABELIczwsppoziomu1numeracjiwtabeli"/>
            </w:pPr>
            <w:r w:rsidRPr="00264AE1">
              <w:lastRenderedPageBreak/>
              <w:t>Dyskwalifikacja na 3 miesiące</w:t>
            </w:r>
          </w:p>
        </w:tc>
      </w:tr>
    </w:tbl>
    <w:p w14:paraId="05D9357B" w14:textId="77777777" w:rsidR="00264AE1" w:rsidRPr="00264AE1" w:rsidRDefault="00264AE1" w:rsidP="00264AE1"/>
    <w:p w14:paraId="78E569D3" w14:textId="77777777" w:rsidR="00264AE1" w:rsidRPr="00264AE1" w:rsidRDefault="00264AE1" w:rsidP="00332211">
      <w:pPr>
        <w:pStyle w:val="NIEARTTEKSTtekstnieartykuowanynppodstprawnarozplubpreambua"/>
      </w:pPr>
      <w:r w:rsidRPr="00264AE1">
        <w:t>2.2.4 Inne przyczyny dyskwalifikacji czasowej</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594"/>
        <w:gridCol w:w="6017"/>
      </w:tblGrid>
      <w:tr w:rsidR="002D4F6D" w14:paraId="2C510BE7" w14:textId="77777777" w:rsidTr="002D4F6D">
        <w:tc>
          <w:tcPr>
            <w:tcW w:w="363" w:type="pct"/>
            <w:tcBorders>
              <w:top w:val="single" w:sz="4" w:space="0" w:color="auto"/>
              <w:left w:val="single" w:sz="4" w:space="0" w:color="auto"/>
              <w:bottom w:val="single" w:sz="4" w:space="0" w:color="auto"/>
              <w:right w:val="single" w:sz="4" w:space="0" w:color="auto"/>
            </w:tcBorders>
          </w:tcPr>
          <w:p w14:paraId="1419C20F" w14:textId="77777777" w:rsidR="002D4F6D" w:rsidRPr="00332211" w:rsidRDefault="002D4F6D" w:rsidP="00332211">
            <w:pPr>
              <w:pStyle w:val="TEKSTwTABELIWYRODKOWANYtekstwyrodkowanywpoziomie"/>
              <w:rPr>
                <w:rStyle w:val="Ppogrubienie"/>
              </w:rPr>
            </w:pPr>
            <w:r>
              <w:rPr>
                <w:rStyle w:val="Ppogrubienie"/>
              </w:rPr>
              <w:t xml:space="preserve">Lp. </w:t>
            </w:r>
          </w:p>
        </w:tc>
        <w:tc>
          <w:tcPr>
            <w:tcW w:w="1397" w:type="pct"/>
            <w:tcBorders>
              <w:top w:val="single" w:sz="4" w:space="0" w:color="auto"/>
              <w:left w:val="single" w:sz="4" w:space="0" w:color="auto"/>
              <w:bottom w:val="single" w:sz="4" w:space="0" w:color="auto"/>
              <w:right w:val="single" w:sz="4" w:space="0" w:color="auto"/>
            </w:tcBorders>
            <w:hideMark/>
          </w:tcPr>
          <w:p w14:paraId="3B367D69" w14:textId="77777777" w:rsidR="002D4F6D" w:rsidRPr="00332211" w:rsidRDefault="002D4F6D" w:rsidP="00332211">
            <w:pPr>
              <w:pStyle w:val="TEKSTwTABELIWYRODKOWANYtekstwyrodkowanywpoziomie"/>
              <w:rPr>
                <w:rStyle w:val="Ppogrubienie"/>
              </w:rPr>
            </w:pPr>
            <w:r w:rsidRPr="00332211">
              <w:rPr>
                <w:rStyle w:val="Ppogrubienie"/>
              </w:rPr>
              <w:t>Kryterium</w:t>
            </w:r>
          </w:p>
        </w:tc>
        <w:tc>
          <w:tcPr>
            <w:tcW w:w="0" w:type="auto"/>
            <w:tcBorders>
              <w:top w:val="single" w:sz="4" w:space="0" w:color="auto"/>
              <w:left w:val="single" w:sz="4" w:space="0" w:color="auto"/>
              <w:bottom w:val="single" w:sz="4" w:space="0" w:color="auto"/>
              <w:right w:val="single" w:sz="4" w:space="0" w:color="auto"/>
            </w:tcBorders>
            <w:hideMark/>
          </w:tcPr>
          <w:p w14:paraId="3475F552" w14:textId="77777777" w:rsidR="002D4F6D" w:rsidRPr="00332211" w:rsidRDefault="002D4F6D" w:rsidP="00332211">
            <w:pPr>
              <w:pStyle w:val="TEKSTwTABELIWYRODKOWANYtekstwyrodkowanywpoziomie"/>
              <w:rPr>
                <w:rStyle w:val="Ppogrubienie"/>
              </w:rPr>
            </w:pPr>
            <w:r w:rsidRPr="00332211">
              <w:rPr>
                <w:rStyle w:val="Ppogrubienie"/>
              </w:rPr>
              <w:t>Szczegółowy opis kryterium oraz warunki pobierania krwi od kandydata na dawcę krwi albo dawcy krwi</w:t>
            </w:r>
          </w:p>
        </w:tc>
      </w:tr>
      <w:tr w:rsidR="002D4F6D" w14:paraId="659A5D5E" w14:textId="77777777" w:rsidTr="002D4F6D">
        <w:tc>
          <w:tcPr>
            <w:tcW w:w="363" w:type="pct"/>
            <w:tcBorders>
              <w:top w:val="single" w:sz="4" w:space="0" w:color="auto"/>
              <w:left w:val="single" w:sz="4" w:space="0" w:color="auto"/>
              <w:bottom w:val="single" w:sz="4" w:space="0" w:color="auto"/>
              <w:right w:val="single" w:sz="4" w:space="0" w:color="auto"/>
            </w:tcBorders>
          </w:tcPr>
          <w:p w14:paraId="3C4270D7" w14:textId="77777777" w:rsidR="002D4F6D" w:rsidRPr="00264AE1" w:rsidRDefault="002D4F6D" w:rsidP="00332211">
            <w:pPr>
              <w:pStyle w:val="CZWSPP1wTABELIczwsppoziomu1numeracjiwtabeli"/>
            </w:pPr>
            <w:r>
              <w:t>1.</w:t>
            </w:r>
          </w:p>
        </w:tc>
        <w:tc>
          <w:tcPr>
            <w:tcW w:w="1397" w:type="pct"/>
            <w:tcBorders>
              <w:top w:val="single" w:sz="4" w:space="0" w:color="auto"/>
              <w:left w:val="single" w:sz="4" w:space="0" w:color="auto"/>
              <w:bottom w:val="single" w:sz="4" w:space="0" w:color="auto"/>
              <w:right w:val="single" w:sz="4" w:space="0" w:color="auto"/>
            </w:tcBorders>
            <w:hideMark/>
          </w:tcPr>
          <w:p w14:paraId="5BEFAC5D" w14:textId="77777777" w:rsidR="002D4F6D" w:rsidRPr="00264AE1" w:rsidRDefault="002D4F6D" w:rsidP="00332211">
            <w:pPr>
              <w:pStyle w:val="CZWSPP1wTABELIczwsppoziomu1numeracjiwtabeli"/>
            </w:pPr>
            <w:r w:rsidRPr="00264AE1">
              <w:t>Ciąża</w:t>
            </w:r>
          </w:p>
        </w:tc>
        <w:tc>
          <w:tcPr>
            <w:tcW w:w="0" w:type="auto"/>
            <w:tcBorders>
              <w:top w:val="single" w:sz="4" w:space="0" w:color="auto"/>
              <w:left w:val="single" w:sz="4" w:space="0" w:color="auto"/>
              <w:bottom w:val="single" w:sz="4" w:space="0" w:color="auto"/>
              <w:right w:val="single" w:sz="4" w:space="0" w:color="auto"/>
            </w:tcBorders>
            <w:hideMark/>
          </w:tcPr>
          <w:p w14:paraId="14B457D6" w14:textId="77777777" w:rsidR="002D4F6D" w:rsidRPr="00264AE1" w:rsidRDefault="002D4F6D" w:rsidP="00332211">
            <w:pPr>
              <w:pStyle w:val="CZWSPP1wTABELIczwsppoziomu1numeracjiwtabeli"/>
            </w:pPr>
            <w:r w:rsidRPr="00264AE1">
              <w:t>6 miesięcy po porodzie lub jej zakończeniu, poza sytuacjami wyjątkowymi po uzyskaniu zgody lekarza</w:t>
            </w:r>
          </w:p>
        </w:tc>
      </w:tr>
      <w:tr w:rsidR="002D4F6D" w14:paraId="17364C45" w14:textId="77777777" w:rsidTr="002D4F6D">
        <w:tc>
          <w:tcPr>
            <w:tcW w:w="363" w:type="pct"/>
            <w:tcBorders>
              <w:top w:val="single" w:sz="4" w:space="0" w:color="auto"/>
              <w:left w:val="single" w:sz="4" w:space="0" w:color="auto"/>
              <w:bottom w:val="single" w:sz="4" w:space="0" w:color="auto"/>
              <w:right w:val="single" w:sz="4" w:space="0" w:color="auto"/>
            </w:tcBorders>
          </w:tcPr>
          <w:p w14:paraId="6DFCDAED" w14:textId="77777777" w:rsidR="002D4F6D" w:rsidRPr="00264AE1" w:rsidRDefault="002D4F6D" w:rsidP="00332211">
            <w:pPr>
              <w:pStyle w:val="CZWSPP1wTABELIczwsppoziomu1numeracjiwtabeli"/>
            </w:pPr>
            <w:r>
              <w:t>2.</w:t>
            </w:r>
          </w:p>
        </w:tc>
        <w:tc>
          <w:tcPr>
            <w:tcW w:w="1397" w:type="pct"/>
            <w:tcBorders>
              <w:top w:val="single" w:sz="4" w:space="0" w:color="auto"/>
              <w:left w:val="single" w:sz="4" w:space="0" w:color="auto"/>
              <w:bottom w:val="single" w:sz="4" w:space="0" w:color="auto"/>
              <w:right w:val="single" w:sz="4" w:space="0" w:color="auto"/>
            </w:tcBorders>
            <w:hideMark/>
          </w:tcPr>
          <w:p w14:paraId="1867B900" w14:textId="77777777" w:rsidR="002D4F6D" w:rsidRPr="00264AE1" w:rsidRDefault="002D4F6D" w:rsidP="00332211">
            <w:pPr>
              <w:pStyle w:val="CZWSPP1wTABELIczwsppoziomu1numeracjiwtabeli"/>
            </w:pPr>
            <w:r w:rsidRPr="00264AE1">
              <w:t>Miesiączka</w:t>
            </w:r>
          </w:p>
        </w:tc>
        <w:tc>
          <w:tcPr>
            <w:tcW w:w="0" w:type="auto"/>
            <w:tcBorders>
              <w:top w:val="single" w:sz="4" w:space="0" w:color="auto"/>
              <w:left w:val="single" w:sz="4" w:space="0" w:color="auto"/>
              <w:bottom w:val="single" w:sz="4" w:space="0" w:color="auto"/>
              <w:right w:val="single" w:sz="4" w:space="0" w:color="auto"/>
            </w:tcBorders>
            <w:hideMark/>
          </w:tcPr>
          <w:p w14:paraId="5E30F510" w14:textId="77777777" w:rsidR="002D4F6D" w:rsidRPr="00264AE1" w:rsidRDefault="002D4F6D" w:rsidP="00332211">
            <w:pPr>
              <w:pStyle w:val="CZWSPP1wTABELIczwsppoziomu1numeracjiwtabeli"/>
            </w:pPr>
            <w:r w:rsidRPr="00264AE1">
              <w:t>3 dni po zakończeniu</w:t>
            </w:r>
          </w:p>
        </w:tc>
      </w:tr>
      <w:tr w:rsidR="002D4F6D" w14:paraId="7B64AE3B" w14:textId="77777777" w:rsidTr="002D4F6D">
        <w:tc>
          <w:tcPr>
            <w:tcW w:w="363" w:type="pct"/>
            <w:tcBorders>
              <w:top w:val="single" w:sz="4" w:space="0" w:color="auto"/>
              <w:left w:val="single" w:sz="4" w:space="0" w:color="auto"/>
              <w:bottom w:val="single" w:sz="4" w:space="0" w:color="auto"/>
              <w:right w:val="single" w:sz="4" w:space="0" w:color="auto"/>
            </w:tcBorders>
          </w:tcPr>
          <w:p w14:paraId="1918A44C" w14:textId="77777777" w:rsidR="002D4F6D" w:rsidRPr="00264AE1" w:rsidRDefault="002D4F6D" w:rsidP="00332211">
            <w:pPr>
              <w:pStyle w:val="CZWSPP1wTABELIczwsppoziomu1numeracjiwtabeli"/>
            </w:pPr>
            <w:r>
              <w:t>3.</w:t>
            </w:r>
          </w:p>
        </w:tc>
        <w:tc>
          <w:tcPr>
            <w:tcW w:w="1397" w:type="pct"/>
            <w:tcBorders>
              <w:top w:val="single" w:sz="4" w:space="0" w:color="auto"/>
              <w:left w:val="single" w:sz="4" w:space="0" w:color="auto"/>
              <w:bottom w:val="single" w:sz="4" w:space="0" w:color="auto"/>
              <w:right w:val="single" w:sz="4" w:space="0" w:color="auto"/>
            </w:tcBorders>
            <w:hideMark/>
          </w:tcPr>
          <w:p w14:paraId="6163B80C" w14:textId="77777777" w:rsidR="002D4F6D" w:rsidRPr="00264AE1" w:rsidRDefault="002D4F6D" w:rsidP="00332211">
            <w:pPr>
              <w:pStyle w:val="CZWSPP1wTABELIczwsppoziomu1numeracjiwtabeli"/>
            </w:pPr>
            <w:r w:rsidRPr="00264AE1">
              <w:t>Mały zabieg chirurgiczny</w:t>
            </w:r>
          </w:p>
        </w:tc>
        <w:tc>
          <w:tcPr>
            <w:tcW w:w="0" w:type="auto"/>
            <w:tcBorders>
              <w:top w:val="single" w:sz="4" w:space="0" w:color="auto"/>
              <w:left w:val="single" w:sz="4" w:space="0" w:color="auto"/>
              <w:bottom w:val="single" w:sz="4" w:space="0" w:color="auto"/>
              <w:right w:val="single" w:sz="4" w:space="0" w:color="auto"/>
            </w:tcBorders>
            <w:hideMark/>
          </w:tcPr>
          <w:p w14:paraId="4998864A" w14:textId="77777777" w:rsidR="002D4F6D" w:rsidRPr="00264AE1" w:rsidRDefault="002D4F6D" w:rsidP="00332211">
            <w:pPr>
              <w:pStyle w:val="CZWSPP1wTABELIczwsppoziomu1numeracjiwtabeli"/>
            </w:pPr>
            <w:r w:rsidRPr="00264AE1">
              <w:t>1 tydzień</w:t>
            </w:r>
          </w:p>
        </w:tc>
      </w:tr>
      <w:tr w:rsidR="002D4F6D" w14:paraId="2F4AE202" w14:textId="77777777" w:rsidTr="002D4F6D">
        <w:tc>
          <w:tcPr>
            <w:tcW w:w="363" w:type="pct"/>
            <w:tcBorders>
              <w:top w:val="single" w:sz="4" w:space="0" w:color="auto"/>
              <w:left w:val="single" w:sz="4" w:space="0" w:color="auto"/>
              <w:bottom w:val="single" w:sz="4" w:space="0" w:color="auto"/>
              <w:right w:val="single" w:sz="4" w:space="0" w:color="auto"/>
            </w:tcBorders>
          </w:tcPr>
          <w:p w14:paraId="607CF61B" w14:textId="77777777" w:rsidR="002D4F6D" w:rsidRPr="00264AE1" w:rsidRDefault="002D4F6D" w:rsidP="00332211">
            <w:pPr>
              <w:pStyle w:val="CZWSPP1wTABELIczwsppoziomu1numeracjiwtabeli"/>
            </w:pPr>
            <w:r>
              <w:t>4.</w:t>
            </w:r>
          </w:p>
        </w:tc>
        <w:tc>
          <w:tcPr>
            <w:tcW w:w="1397" w:type="pct"/>
            <w:tcBorders>
              <w:top w:val="single" w:sz="4" w:space="0" w:color="auto"/>
              <w:left w:val="single" w:sz="4" w:space="0" w:color="auto"/>
              <w:bottom w:val="single" w:sz="4" w:space="0" w:color="auto"/>
              <w:right w:val="single" w:sz="4" w:space="0" w:color="auto"/>
            </w:tcBorders>
            <w:hideMark/>
          </w:tcPr>
          <w:p w14:paraId="34FA6092" w14:textId="77777777" w:rsidR="002D4F6D" w:rsidRPr="00264AE1" w:rsidRDefault="002D4F6D" w:rsidP="00332211">
            <w:pPr>
              <w:pStyle w:val="CZWSPP1wTABELIczwsppoziomu1numeracjiwtabeli"/>
            </w:pPr>
            <w:r w:rsidRPr="00264AE1">
              <w:t>Leczenie stomatologiczne</w:t>
            </w:r>
          </w:p>
        </w:tc>
        <w:tc>
          <w:tcPr>
            <w:tcW w:w="0" w:type="auto"/>
            <w:tcBorders>
              <w:top w:val="single" w:sz="4" w:space="0" w:color="auto"/>
              <w:left w:val="single" w:sz="4" w:space="0" w:color="auto"/>
              <w:bottom w:val="single" w:sz="4" w:space="0" w:color="auto"/>
              <w:right w:val="single" w:sz="4" w:space="0" w:color="auto"/>
            </w:tcBorders>
            <w:hideMark/>
          </w:tcPr>
          <w:p w14:paraId="04579710" w14:textId="77777777" w:rsidR="002D4F6D" w:rsidRPr="00264AE1" w:rsidRDefault="002D4F6D" w:rsidP="00332211">
            <w:pPr>
              <w:pStyle w:val="CZWSPP1wTABELIczwsppoziomu1numeracjiwtabeli"/>
            </w:pPr>
            <w:r w:rsidRPr="00264AE1">
              <w:t>Leczenie stomatologiczne lub wizyta u higienistki stomatologicznej - odroczenie do następnego dnia (uwaga: ekstrakcję zęba, leczenie przewodowe itp. uważa się za mały zabieg chirurgiczny)</w:t>
            </w:r>
          </w:p>
        </w:tc>
      </w:tr>
      <w:tr w:rsidR="002D4F6D" w14:paraId="31C23F14" w14:textId="77777777" w:rsidTr="002D4F6D">
        <w:tc>
          <w:tcPr>
            <w:tcW w:w="363" w:type="pct"/>
            <w:tcBorders>
              <w:top w:val="single" w:sz="4" w:space="0" w:color="auto"/>
              <w:left w:val="single" w:sz="4" w:space="0" w:color="auto"/>
              <w:bottom w:val="single" w:sz="4" w:space="0" w:color="auto"/>
              <w:right w:val="single" w:sz="4" w:space="0" w:color="auto"/>
            </w:tcBorders>
          </w:tcPr>
          <w:p w14:paraId="66CD2C1C" w14:textId="77777777" w:rsidR="002D4F6D" w:rsidRPr="00264AE1" w:rsidRDefault="002D4F6D" w:rsidP="00332211">
            <w:pPr>
              <w:pStyle w:val="CZWSPP1wTABELIczwsppoziomu1numeracjiwtabeli"/>
            </w:pPr>
            <w:r>
              <w:t>5.</w:t>
            </w:r>
          </w:p>
        </w:tc>
        <w:tc>
          <w:tcPr>
            <w:tcW w:w="1397" w:type="pct"/>
            <w:tcBorders>
              <w:top w:val="single" w:sz="4" w:space="0" w:color="auto"/>
              <w:left w:val="single" w:sz="4" w:space="0" w:color="auto"/>
              <w:bottom w:val="single" w:sz="4" w:space="0" w:color="auto"/>
              <w:right w:val="single" w:sz="4" w:space="0" w:color="auto"/>
            </w:tcBorders>
            <w:hideMark/>
          </w:tcPr>
          <w:p w14:paraId="68220FA7" w14:textId="77777777" w:rsidR="002D4F6D" w:rsidRPr="00264AE1" w:rsidRDefault="002D4F6D" w:rsidP="00332211">
            <w:pPr>
              <w:pStyle w:val="CZWSPP1wTABELIczwsppoziomu1numeracjiwtabeli"/>
            </w:pPr>
            <w:r w:rsidRPr="00264AE1">
              <w:t>Przyjmowanie leków</w:t>
            </w:r>
          </w:p>
        </w:tc>
        <w:tc>
          <w:tcPr>
            <w:tcW w:w="0" w:type="auto"/>
            <w:tcBorders>
              <w:top w:val="single" w:sz="4" w:space="0" w:color="auto"/>
              <w:left w:val="single" w:sz="4" w:space="0" w:color="auto"/>
              <w:bottom w:val="single" w:sz="4" w:space="0" w:color="auto"/>
              <w:right w:val="single" w:sz="4" w:space="0" w:color="auto"/>
            </w:tcBorders>
            <w:hideMark/>
          </w:tcPr>
          <w:p w14:paraId="7DBF5F91" w14:textId="77777777" w:rsidR="002D4F6D" w:rsidRPr="00264AE1" w:rsidRDefault="002D4F6D" w:rsidP="00332211">
            <w:pPr>
              <w:pStyle w:val="CZWSPP1wTABELIczwsppoziomu1numeracjiwtabeli"/>
            </w:pPr>
            <w:r w:rsidRPr="00264AE1">
              <w:t>Zależnie od rodzaju przepisanego leku, jego sposobu działania i leczonego schorzenia</w:t>
            </w:r>
          </w:p>
        </w:tc>
      </w:tr>
      <w:tr w:rsidR="002D4F6D" w14:paraId="5093802D" w14:textId="77777777" w:rsidTr="002D4F6D">
        <w:tc>
          <w:tcPr>
            <w:tcW w:w="363" w:type="pct"/>
            <w:tcBorders>
              <w:top w:val="single" w:sz="4" w:space="0" w:color="auto"/>
              <w:left w:val="single" w:sz="4" w:space="0" w:color="auto"/>
              <w:bottom w:val="single" w:sz="4" w:space="0" w:color="auto"/>
              <w:right w:val="single" w:sz="4" w:space="0" w:color="auto"/>
            </w:tcBorders>
          </w:tcPr>
          <w:p w14:paraId="03FAB06B" w14:textId="77777777" w:rsidR="002D4F6D" w:rsidRPr="00332211" w:rsidRDefault="00E44CC2" w:rsidP="00332211">
            <w:pPr>
              <w:pStyle w:val="CZWSPP1wTABELIczwsppoziomu1numeracjiwtabeli"/>
            </w:pPr>
            <w:r>
              <w:t>6.</w:t>
            </w:r>
          </w:p>
        </w:tc>
        <w:tc>
          <w:tcPr>
            <w:tcW w:w="1397" w:type="pct"/>
            <w:tcBorders>
              <w:top w:val="single" w:sz="4" w:space="0" w:color="auto"/>
              <w:left w:val="single" w:sz="4" w:space="0" w:color="auto"/>
              <w:bottom w:val="single" w:sz="4" w:space="0" w:color="auto"/>
              <w:right w:val="single" w:sz="4" w:space="0" w:color="auto"/>
            </w:tcBorders>
            <w:hideMark/>
          </w:tcPr>
          <w:p w14:paraId="434EBDA8" w14:textId="77777777" w:rsidR="002D4F6D" w:rsidRPr="00332211" w:rsidRDefault="002D4F6D" w:rsidP="00332211">
            <w:pPr>
              <w:pStyle w:val="CZWSPP1wTABELIczwsppoziomu1numeracjiwtabeli"/>
            </w:pPr>
            <w:r w:rsidRPr="00332211">
              <w:t>Ostre choroby układu oddechowego</w:t>
            </w:r>
          </w:p>
        </w:tc>
        <w:tc>
          <w:tcPr>
            <w:tcW w:w="0" w:type="auto"/>
            <w:vMerge w:val="restart"/>
            <w:tcBorders>
              <w:top w:val="single" w:sz="4" w:space="0" w:color="auto"/>
              <w:left w:val="single" w:sz="4" w:space="0" w:color="auto"/>
              <w:right w:val="single" w:sz="4" w:space="0" w:color="auto"/>
            </w:tcBorders>
          </w:tcPr>
          <w:p w14:paraId="3ECEA621" w14:textId="77777777" w:rsidR="002D4F6D" w:rsidRDefault="002D4F6D" w:rsidP="00332211">
            <w:pPr>
              <w:pStyle w:val="CZWSPP1wTABELIczwsppoziomu1numeracjiwtabeli"/>
            </w:pPr>
            <w:r w:rsidRPr="00332211">
              <w:t>Do zakończenia leczenia</w:t>
            </w:r>
          </w:p>
          <w:p w14:paraId="18C82080" w14:textId="77777777" w:rsidR="002D4F6D" w:rsidRPr="00332211" w:rsidRDefault="002D4F6D" w:rsidP="00332211"/>
        </w:tc>
      </w:tr>
      <w:tr w:rsidR="002D4F6D" w14:paraId="4F38D0F1" w14:textId="77777777" w:rsidTr="002D4F6D">
        <w:tc>
          <w:tcPr>
            <w:tcW w:w="363" w:type="pct"/>
            <w:tcBorders>
              <w:top w:val="single" w:sz="4" w:space="0" w:color="auto"/>
              <w:left w:val="single" w:sz="4" w:space="0" w:color="auto"/>
              <w:bottom w:val="single" w:sz="4" w:space="0" w:color="auto"/>
              <w:right w:val="single" w:sz="4" w:space="0" w:color="auto"/>
            </w:tcBorders>
          </w:tcPr>
          <w:p w14:paraId="45A92899" w14:textId="77777777" w:rsidR="002D4F6D" w:rsidRPr="00332211" w:rsidRDefault="00E44CC2" w:rsidP="00332211">
            <w:pPr>
              <w:pStyle w:val="CZWSPP1wTABELIczwsppoziomu1numeracjiwtabeli"/>
            </w:pPr>
            <w:r>
              <w:t>7.</w:t>
            </w:r>
          </w:p>
        </w:tc>
        <w:tc>
          <w:tcPr>
            <w:tcW w:w="1397" w:type="pct"/>
            <w:tcBorders>
              <w:top w:val="single" w:sz="4" w:space="0" w:color="auto"/>
              <w:left w:val="single" w:sz="4" w:space="0" w:color="auto"/>
              <w:bottom w:val="single" w:sz="4" w:space="0" w:color="auto"/>
              <w:right w:val="single" w:sz="4" w:space="0" w:color="auto"/>
            </w:tcBorders>
            <w:hideMark/>
          </w:tcPr>
          <w:p w14:paraId="05873ECA" w14:textId="77777777" w:rsidR="002D4F6D" w:rsidRPr="00332211" w:rsidRDefault="002D4F6D" w:rsidP="00332211">
            <w:pPr>
              <w:pStyle w:val="CZWSPP1wTABELIczwsppoziomu1numeracjiwtabeli"/>
            </w:pPr>
            <w:r w:rsidRPr="00332211">
              <w:t>Ostre choroby układu pokarmowego</w:t>
            </w:r>
          </w:p>
        </w:tc>
        <w:tc>
          <w:tcPr>
            <w:tcW w:w="0" w:type="auto"/>
            <w:vMerge/>
            <w:tcBorders>
              <w:left w:val="single" w:sz="4" w:space="0" w:color="auto"/>
              <w:bottom w:val="single" w:sz="4" w:space="0" w:color="auto"/>
              <w:right w:val="single" w:sz="4" w:space="0" w:color="auto"/>
            </w:tcBorders>
          </w:tcPr>
          <w:p w14:paraId="3080909E" w14:textId="77777777" w:rsidR="002D4F6D" w:rsidRPr="00332211" w:rsidRDefault="002D4F6D" w:rsidP="00332211">
            <w:pPr>
              <w:pStyle w:val="CZWSPP1wTABELIczwsppoziomu1numeracjiwtabeli"/>
            </w:pPr>
          </w:p>
        </w:tc>
      </w:tr>
      <w:tr w:rsidR="002D4F6D" w14:paraId="3DAEE781" w14:textId="77777777" w:rsidTr="002D4F6D">
        <w:tc>
          <w:tcPr>
            <w:tcW w:w="363" w:type="pct"/>
            <w:tcBorders>
              <w:top w:val="single" w:sz="4" w:space="0" w:color="auto"/>
              <w:left w:val="single" w:sz="4" w:space="0" w:color="auto"/>
              <w:bottom w:val="single" w:sz="4" w:space="0" w:color="auto"/>
              <w:right w:val="single" w:sz="4" w:space="0" w:color="auto"/>
            </w:tcBorders>
          </w:tcPr>
          <w:p w14:paraId="51B49BB2" w14:textId="77777777" w:rsidR="002D4F6D" w:rsidRPr="00332211" w:rsidRDefault="00E44CC2" w:rsidP="00332211">
            <w:pPr>
              <w:pStyle w:val="CZWSPP1wTABELIczwsppoziomu1numeracjiwtabeli"/>
            </w:pPr>
            <w:r>
              <w:t>8.</w:t>
            </w:r>
          </w:p>
        </w:tc>
        <w:tc>
          <w:tcPr>
            <w:tcW w:w="1397" w:type="pct"/>
            <w:tcBorders>
              <w:top w:val="single" w:sz="4" w:space="0" w:color="auto"/>
              <w:left w:val="single" w:sz="4" w:space="0" w:color="auto"/>
              <w:bottom w:val="single" w:sz="4" w:space="0" w:color="auto"/>
              <w:right w:val="single" w:sz="4" w:space="0" w:color="auto"/>
            </w:tcBorders>
            <w:hideMark/>
          </w:tcPr>
          <w:p w14:paraId="18C5D5F5" w14:textId="77777777" w:rsidR="002D4F6D" w:rsidRPr="00332211" w:rsidRDefault="002D4F6D" w:rsidP="00332211">
            <w:pPr>
              <w:pStyle w:val="CZWSPP1wTABELIczwsppoziomu1numeracjiwtabeli"/>
            </w:pPr>
            <w:r w:rsidRPr="00332211">
              <w:t>Ostre kłębuszkowe zapalenie nerek</w:t>
            </w:r>
          </w:p>
        </w:tc>
        <w:tc>
          <w:tcPr>
            <w:tcW w:w="0" w:type="auto"/>
            <w:tcBorders>
              <w:top w:val="single" w:sz="4" w:space="0" w:color="auto"/>
              <w:left w:val="single" w:sz="4" w:space="0" w:color="auto"/>
              <w:bottom w:val="single" w:sz="4" w:space="0" w:color="auto"/>
              <w:right w:val="single" w:sz="4" w:space="0" w:color="auto"/>
            </w:tcBorders>
            <w:hideMark/>
          </w:tcPr>
          <w:p w14:paraId="78ADC6C2" w14:textId="77777777" w:rsidR="002D4F6D" w:rsidRPr="00332211" w:rsidRDefault="002D4F6D" w:rsidP="00332211">
            <w:pPr>
              <w:pStyle w:val="CZWSPP1wTABELIczwsppoziomu1numeracjiwtabeli"/>
            </w:pPr>
            <w:r w:rsidRPr="00332211">
              <w:t>5 lat od całkowitego wyleczenia</w:t>
            </w:r>
          </w:p>
        </w:tc>
      </w:tr>
      <w:tr w:rsidR="002D4F6D" w14:paraId="727142B6" w14:textId="77777777" w:rsidTr="002D4F6D">
        <w:tc>
          <w:tcPr>
            <w:tcW w:w="363" w:type="pct"/>
            <w:tcBorders>
              <w:top w:val="single" w:sz="4" w:space="0" w:color="auto"/>
              <w:left w:val="single" w:sz="4" w:space="0" w:color="auto"/>
              <w:bottom w:val="single" w:sz="4" w:space="0" w:color="auto"/>
              <w:right w:val="single" w:sz="4" w:space="0" w:color="auto"/>
            </w:tcBorders>
          </w:tcPr>
          <w:p w14:paraId="79F41068" w14:textId="77777777" w:rsidR="002D4F6D" w:rsidRPr="00332211" w:rsidRDefault="00E44CC2" w:rsidP="00332211">
            <w:pPr>
              <w:pStyle w:val="CZWSPP1wTABELIczwsppoziomu1numeracjiwtabeli"/>
            </w:pPr>
            <w:r>
              <w:t>9.</w:t>
            </w:r>
          </w:p>
        </w:tc>
        <w:tc>
          <w:tcPr>
            <w:tcW w:w="1397" w:type="pct"/>
            <w:tcBorders>
              <w:top w:val="single" w:sz="4" w:space="0" w:color="auto"/>
              <w:left w:val="single" w:sz="4" w:space="0" w:color="auto"/>
              <w:bottom w:val="single" w:sz="4" w:space="0" w:color="auto"/>
              <w:right w:val="single" w:sz="4" w:space="0" w:color="auto"/>
            </w:tcBorders>
            <w:hideMark/>
          </w:tcPr>
          <w:p w14:paraId="2326701A" w14:textId="77777777" w:rsidR="002D4F6D" w:rsidRPr="00332211" w:rsidRDefault="002D4F6D" w:rsidP="00332211">
            <w:pPr>
              <w:pStyle w:val="CZWSPP1wTABELIczwsppoziomu1numeracjiwtabeli"/>
            </w:pPr>
            <w:r w:rsidRPr="00332211">
              <w:t>Inne ostre choroby układu moczowego</w:t>
            </w:r>
          </w:p>
        </w:tc>
        <w:tc>
          <w:tcPr>
            <w:tcW w:w="0" w:type="auto"/>
            <w:vMerge w:val="restart"/>
            <w:tcBorders>
              <w:top w:val="single" w:sz="4" w:space="0" w:color="auto"/>
              <w:left w:val="single" w:sz="4" w:space="0" w:color="auto"/>
              <w:right w:val="single" w:sz="4" w:space="0" w:color="auto"/>
            </w:tcBorders>
          </w:tcPr>
          <w:p w14:paraId="14A754EA" w14:textId="77777777" w:rsidR="002D4F6D" w:rsidRPr="00332211" w:rsidRDefault="002D4F6D" w:rsidP="00332211">
            <w:pPr>
              <w:pStyle w:val="CZWSPP1wTABELIczwsppoziomu1numeracjiwtabeli"/>
            </w:pPr>
            <w:r w:rsidRPr="00332211">
              <w:t>Do zakończenia leczenia</w:t>
            </w:r>
          </w:p>
        </w:tc>
      </w:tr>
      <w:tr w:rsidR="002D4F6D" w14:paraId="0062E249" w14:textId="77777777" w:rsidTr="002D4F6D">
        <w:tc>
          <w:tcPr>
            <w:tcW w:w="363" w:type="pct"/>
            <w:tcBorders>
              <w:top w:val="single" w:sz="4" w:space="0" w:color="auto"/>
              <w:left w:val="single" w:sz="4" w:space="0" w:color="auto"/>
              <w:bottom w:val="single" w:sz="4" w:space="0" w:color="auto"/>
              <w:right w:val="single" w:sz="4" w:space="0" w:color="auto"/>
            </w:tcBorders>
          </w:tcPr>
          <w:p w14:paraId="7E1938AC" w14:textId="77777777" w:rsidR="002D4F6D" w:rsidRPr="00332211" w:rsidRDefault="00E44CC2" w:rsidP="00332211">
            <w:pPr>
              <w:pStyle w:val="CZWSPP1wTABELIczwsppoziomu1numeracjiwtabeli"/>
            </w:pPr>
            <w:r>
              <w:t>10.</w:t>
            </w:r>
          </w:p>
        </w:tc>
        <w:tc>
          <w:tcPr>
            <w:tcW w:w="1397" w:type="pct"/>
            <w:tcBorders>
              <w:top w:val="single" w:sz="4" w:space="0" w:color="auto"/>
              <w:left w:val="single" w:sz="4" w:space="0" w:color="auto"/>
              <w:bottom w:val="single" w:sz="4" w:space="0" w:color="auto"/>
              <w:right w:val="single" w:sz="4" w:space="0" w:color="auto"/>
            </w:tcBorders>
            <w:hideMark/>
          </w:tcPr>
          <w:p w14:paraId="28A028BB" w14:textId="77777777" w:rsidR="002D4F6D" w:rsidRPr="00332211" w:rsidRDefault="002D4F6D" w:rsidP="00332211">
            <w:pPr>
              <w:pStyle w:val="CZWSPP1wTABELIczwsppoziomu1numeracjiwtabeli"/>
            </w:pPr>
            <w:r w:rsidRPr="00332211">
              <w:t>Choroby zapalne i uczuleniowe skóry</w:t>
            </w:r>
          </w:p>
        </w:tc>
        <w:tc>
          <w:tcPr>
            <w:tcW w:w="0" w:type="auto"/>
            <w:vMerge/>
            <w:tcBorders>
              <w:left w:val="single" w:sz="4" w:space="0" w:color="auto"/>
              <w:bottom w:val="single" w:sz="4" w:space="0" w:color="auto"/>
              <w:right w:val="single" w:sz="4" w:space="0" w:color="auto"/>
            </w:tcBorders>
          </w:tcPr>
          <w:p w14:paraId="2347465B" w14:textId="77777777" w:rsidR="002D4F6D" w:rsidRPr="00332211" w:rsidRDefault="002D4F6D" w:rsidP="00332211">
            <w:pPr>
              <w:pStyle w:val="CZWSPP1wTABELIczwsppoziomu1numeracjiwtabeli"/>
            </w:pPr>
          </w:p>
        </w:tc>
      </w:tr>
      <w:tr w:rsidR="002D4F6D" w14:paraId="1AA3B0B4" w14:textId="77777777" w:rsidTr="002D4F6D">
        <w:tc>
          <w:tcPr>
            <w:tcW w:w="363" w:type="pct"/>
            <w:tcBorders>
              <w:top w:val="single" w:sz="4" w:space="0" w:color="auto"/>
              <w:left w:val="single" w:sz="4" w:space="0" w:color="auto"/>
              <w:bottom w:val="single" w:sz="4" w:space="0" w:color="auto"/>
              <w:right w:val="single" w:sz="4" w:space="0" w:color="auto"/>
            </w:tcBorders>
          </w:tcPr>
          <w:p w14:paraId="6C8FBA19" w14:textId="77777777" w:rsidR="002D4F6D" w:rsidRPr="003E04BE" w:rsidRDefault="00E44CC2" w:rsidP="003E04BE">
            <w:pPr>
              <w:pStyle w:val="CZWSPP1wTABELIczwsppoziomu1numeracjiwtabeli"/>
            </w:pPr>
            <w:r>
              <w:t>11.</w:t>
            </w:r>
          </w:p>
        </w:tc>
        <w:tc>
          <w:tcPr>
            <w:tcW w:w="1397" w:type="pct"/>
            <w:tcBorders>
              <w:top w:val="single" w:sz="4" w:space="0" w:color="auto"/>
              <w:left w:val="single" w:sz="4" w:space="0" w:color="auto"/>
              <w:bottom w:val="single" w:sz="4" w:space="0" w:color="auto"/>
              <w:right w:val="single" w:sz="4" w:space="0" w:color="auto"/>
            </w:tcBorders>
            <w:hideMark/>
          </w:tcPr>
          <w:p w14:paraId="60E33809" w14:textId="77777777" w:rsidR="002D4F6D" w:rsidRPr="003E04BE" w:rsidRDefault="002D4F6D" w:rsidP="003E04BE">
            <w:pPr>
              <w:pStyle w:val="CZWSPP1wTABELIczwsppoziomu1numeracjiwtabeli"/>
            </w:pPr>
            <w:r w:rsidRPr="003E04BE">
              <w:t>Ostre stany uczuleniowe</w:t>
            </w:r>
          </w:p>
        </w:tc>
        <w:tc>
          <w:tcPr>
            <w:tcW w:w="0" w:type="auto"/>
            <w:vMerge w:val="restart"/>
            <w:tcBorders>
              <w:top w:val="single" w:sz="4" w:space="0" w:color="auto"/>
              <w:left w:val="single" w:sz="4" w:space="0" w:color="auto"/>
              <w:right w:val="single" w:sz="4" w:space="0" w:color="auto"/>
            </w:tcBorders>
          </w:tcPr>
          <w:p w14:paraId="07E9892A" w14:textId="77777777" w:rsidR="002D4F6D" w:rsidRPr="003E04BE" w:rsidRDefault="002D4F6D" w:rsidP="003E04BE">
            <w:pPr>
              <w:pStyle w:val="CZWSPP1wTABELIczwsppoziomu1numeracjiwtabeli"/>
            </w:pPr>
            <w:r w:rsidRPr="003E04BE">
              <w:t>Do czasu ustąpienia objawów</w:t>
            </w:r>
          </w:p>
          <w:p w14:paraId="253FC635" w14:textId="77777777" w:rsidR="002D4F6D" w:rsidRPr="003E04BE" w:rsidRDefault="002D4F6D" w:rsidP="003E04BE">
            <w:pPr>
              <w:pStyle w:val="CZWSPP1wTABELIczwsppoziomu1numeracjiwtabeli"/>
            </w:pPr>
          </w:p>
        </w:tc>
      </w:tr>
      <w:tr w:rsidR="002D4F6D" w14:paraId="4818D9F7" w14:textId="77777777" w:rsidTr="002D4F6D">
        <w:tc>
          <w:tcPr>
            <w:tcW w:w="363" w:type="pct"/>
            <w:tcBorders>
              <w:top w:val="single" w:sz="4" w:space="0" w:color="auto"/>
              <w:left w:val="single" w:sz="4" w:space="0" w:color="auto"/>
              <w:bottom w:val="single" w:sz="4" w:space="0" w:color="auto"/>
              <w:right w:val="single" w:sz="4" w:space="0" w:color="auto"/>
            </w:tcBorders>
          </w:tcPr>
          <w:p w14:paraId="14BEADE1" w14:textId="77777777" w:rsidR="002D4F6D" w:rsidRPr="003E04BE" w:rsidRDefault="00E44CC2" w:rsidP="003E04BE">
            <w:pPr>
              <w:pStyle w:val="CZWSPP1wTABELIczwsppoziomu1numeracjiwtabeli"/>
            </w:pPr>
            <w:r>
              <w:t>12.</w:t>
            </w:r>
          </w:p>
        </w:tc>
        <w:tc>
          <w:tcPr>
            <w:tcW w:w="1397" w:type="pct"/>
            <w:tcBorders>
              <w:top w:val="single" w:sz="4" w:space="0" w:color="auto"/>
              <w:left w:val="single" w:sz="4" w:space="0" w:color="auto"/>
              <w:bottom w:val="single" w:sz="4" w:space="0" w:color="auto"/>
              <w:right w:val="single" w:sz="4" w:space="0" w:color="auto"/>
            </w:tcBorders>
            <w:hideMark/>
          </w:tcPr>
          <w:p w14:paraId="722144F6" w14:textId="77777777" w:rsidR="002D4F6D" w:rsidRPr="003E04BE" w:rsidRDefault="002D4F6D" w:rsidP="003E04BE">
            <w:pPr>
              <w:pStyle w:val="CZWSPP1wTABELIczwsppoziomu1numeracjiwtabeli"/>
            </w:pPr>
            <w:r w:rsidRPr="003E04BE">
              <w:t>Zaostrzenie przebiegu przewlekłej choroby alergicznej</w:t>
            </w:r>
          </w:p>
        </w:tc>
        <w:tc>
          <w:tcPr>
            <w:tcW w:w="0" w:type="auto"/>
            <w:vMerge/>
            <w:tcBorders>
              <w:left w:val="single" w:sz="4" w:space="0" w:color="auto"/>
              <w:bottom w:val="single" w:sz="4" w:space="0" w:color="auto"/>
              <w:right w:val="single" w:sz="4" w:space="0" w:color="auto"/>
            </w:tcBorders>
          </w:tcPr>
          <w:p w14:paraId="015F825D" w14:textId="77777777" w:rsidR="002D4F6D" w:rsidRPr="003E04BE" w:rsidRDefault="002D4F6D" w:rsidP="003E04BE">
            <w:pPr>
              <w:pStyle w:val="CZWSPP1wTABELIczwsppoziomu1numeracjiwtabeli"/>
            </w:pPr>
          </w:p>
        </w:tc>
      </w:tr>
      <w:tr w:rsidR="002D4F6D" w14:paraId="53FCEC2C" w14:textId="77777777" w:rsidTr="002D4F6D">
        <w:tc>
          <w:tcPr>
            <w:tcW w:w="363" w:type="pct"/>
            <w:tcBorders>
              <w:top w:val="single" w:sz="4" w:space="0" w:color="auto"/>
              <w:left w:val="single" w:sz="4" w:space="0" w:color="auto"/>
              <w:bottom w:val="single" w:sz="4" w:space="0" w:color="auto"/>
              <w:right w:val="single" w:sz="4" w:space="0" w:color="auto"/>
            </w:tcBorders>
          </w:tcPr>
          <w:p w14:paraId="7C6EAAB3" w14:textId="77777777" w:rsidR="002D4F6D" w:rsidRPr="003E04BE" w:rsidRDefault="00E44CC2" w:rsidP="003E04BE">
            <w:pPr>
              <w:pStyle w:val="CZWSPP1wTABELIczwsppoziomu1numeracjiwtabeli"/>
            </w:pPr>
            <w:r>
              <w:t>13.</w:t>
            </w:r>
          </w:p>
        </w:tc>
        <w:tc>
          <w:tcPr>
            <w:tcW w:w="1397" w:type="pct"/>
            <w:tcBorders>
              <w:top w:val="single" w:sz="4" w:space="0" w:color="auto"/>
              <w:left w:val="single" w:sz="4" w:space="0" w:color="auto"/>
              <w:bottom w:val="single" w:sz="4" w:space="0" w:color="auto"/>
              <w:right w:val="single" w:sz="4" w:space="0" w:color="auto"/>
            </w:tcBorders>
            <w:hideMark/>
          </w:tcPr>
          <w:p w14:paraId="3C9795C1" w14:textId="77777777" w:rsidR="002D4F6D" w:rsidRPr="003E04BE" w:rsidRDefault="002D4F6D" w:rsidP="003E04BE">
            <w:pPr>
              <w:pStyle w:val="CZWSPP1wTABELIczwsppoziomu1numeracjiwtabeli"/>
            </w:pPr>
            <w:r w:rsidRPr="003E04BE">
              <w:t xml:space="preserve">Okres odczulania w </w:t>
            </w:r>
            <w:r w:rsidRPr="003E04BE">
              <w:lastRenderedPageBreak/>
              <w:t>alergii</w:t>
            </w:r>
          </w:p>
        </w:tc>
        <w:tc>
          <w:tcPr>
            <w:tcW w:w="0" w:type="auto"/>
            <w:tcBorders>
              <w:top w:val="single" w:sz="4" w:space="0" w:color="auto"/>
              <w:left w:val="single" w:sz="4" w:space="0" w:color="auto"/>
              <w:bottom w:val="single" w:sz="4" w:space="0" w:color="auto"/>
              <w:right w:val="single" w:sz="4" w:space="0" w:color="auto"/>
            </w:tcBorders>
            <w:hideMark/>
          </w:tcPr>
          <w:p w14:paraId="1E58E95A" w14:textId="77777777" w:rsidR="002D4F6D" w:rsidRPr="003E04BE" w:rsidRDefault="002D4F6D" w:rsidP="003E04BE">
            <w:pPr>
              <w:pStyle w:val="CZWSPP1wTABELIczwsppoziomu1numeracjiwtabeli"/>
            </w:pPr>
            <w:r w:rsidRPr="003E04BE">
              <w:lastRenderedPageBreak/>
              <w:t>Cały okres</w:t>
            </w:r>
          </w:p>
        </w:tc>
      </w:tr>
    </w:tbl>
    <w:p w14:paraId="28FD42F4" w14:textId="77777777" w:rsidR="00332211" w:rsidRDefault="00332211" w:rsidP="00264AE1"/>
    <w:p w14:paraId="16FE64DB" w14:textId="77777777" w:rsidR="00264AE1" w:rsidRPr="00264AE1" w:rsidRDefault="00264AE1" w:rsidP="00332211">
      <w:pPr>
        <w:pStyle w:val="NIEARTTEKSTtekstnieartykuowanynppodstprawnarozplubpreambua"/>
      </w:pPr>
      <w:r w:rsidRPr="00264AE1">
        <w:t>2.2.5 Dyskwalifikacja ze względu na szczególną sytuację epidemiologiczną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25"/>
        <w:gridCol w:w="5370"/>
      </w:tblGrid>
      <w:tr w:rsidR="00E44CC2" w14:paraId="367608F6" w14:textId="77777777" w:rsidTr="00E44CC2">
        <w:tc>
          <w:tcPr>
            <w:tcW w:w="675" w:type="dxa"/>
            <w:tcBorders>
              <w:top w:val="single" w:sz="4" w:space="0" w:color="auto"/>
              <w:left w:val="single" w:sz="4" w:space="0" w:color="auto"/>
              <w:bottom w:val="single" w:sz="4" w:space="0" w:color="auto"/>
              <w:right w:val="single" w:sz="4" w:space="0" w:color="auto"/>
            </w:tcBorders>
          </w:tcPr>
          <w:p w14:paraId="386FF3B6" w14:textId="77777777" w:rsidR="00E44CC2" w:rsidRPr="00332211" w:rsidRDefault="00E44CC2" w:rsidP="00332211">
            <w:pPr>
              <w:pStyle w:val="TEKSTwTABELIWYRODKOWANYtekstwyrodkowanywpoziomie"/>
              <w:rPr>
                <w:rStyle w:val="Ppogrubienie"/>
              </w:rPr>
            </w:pPr>
            <w:r>
              <w:rPr>
                <w:rStyle w:val="Ppogrubienie"/>
              </w:rPr>
              <w:t xml:space="preserve">Lp. </w:t>
            </w:r>
          </w:p>
        </w:tc>
        <w:tc>
          <w:tcPr>
            <w:tcW w:w="3225" w:type="dxa"/>
            <w:tcBorders>
              <w:top w:val="single" w:sz="4" w:space="0" w:color="auto"/>
              <w:left w:val="single" w:sz="4" w:space="0" w:color="auto"/>
              <w:bottom w:val="single" w:sz="4" w:space="0" w:color="auto"/>
              <w:right w:val="single" w:sz="4" w:space="0" w:color="auto"/>
            </w:tcBorders>
            <w:hideMark/>
          </w:tcPr>
          <w:p w14:paraId="39E551E7" w14:textId="77777777" w:rsidR="00E44CC2" w:rsidRPr="00332211" w:rsidRDefault="00E44CC2" w:rsidP="00332211">
            <w:pPr>
              <w:pStyle w:val="TEKSTwTABELIWYRODKOWANYtekstwyrodkowanywpoziomie"/>
              <w:rPr>
                <w:rStyle w:val="Ppogrubienie"/>
              </w:rPr>
            </w:pPr>
            <w:r w:rsidRPr="00332211">
              <w:rPr>
                <w:rStyle w:val="Ppogrubienie"/>
              </w:rPr>
              <w:t>Kryterium</w:t>
            </w:r>
          </w:p>
        </w:tc>
        <w:tc>
          <w:tcPr>
            <w:tcW w:w="0" w:type="auto"/>
            <w:tcBorders>
              <w:top w:val="single" w:sz="4" w:space="0" w:color="auto"/>
              <w:left w:val="single" w:sz="4" w:space="0" w:color="auto"/>
              <w:bottom w:val="single" w:sz="4" w:space="0" w:color="auto"/>
              <w:right w:val="single" w:sz="4" w:space="0" w:color="auto"/>
            </w:tcBorders>
            <w:hideMark/>
          </w:tcPr>
          <w:p w14:paraId="2D83DB05" w14:textId="77777777" w:rsidR="00E44CC2" w:rsidRPr="00332211" w:rsidRDefault="00E44CC2" w:rsidP="00332211">
            <w:pPr>
              <w:pStyle w:val="TEKSTwTABELIWYRODKOWANYtekstwyrodkowanywpoziomie"/>
              <w:rPr>
                <w:rStyle w:val="Ppogrubienie"/>
              </w:rPr>
            </w:pPr>
            <w:r w:rsidRPr="00332211">
              <w:rPr>
                <w:rStyle w:val="Ppogrubienie"/>
              </w:rPr>
              <w:t>Szczegółowy opis kryterium oraz warunki pobierania krwi od kandydata na dawcę krwi albo dawcy krwi</w:t>
            </w:r>
          </w:p>
        </w:tc>
      </w:tr>
      <w:tr w:rsidR="00E44CC2" w14:paraId="56633AC5" w14:textId="77777777" w:rsidTr="00E44CC2">
        <w:tc>
          <w:tcPr>
            <w:tcW w:w="675" w:type="dxa"/>
            <w:tcBorders>
              <w:top w:val="single" w:sz="4" w:space="0" w:color="auto"/>
              <w:left w:val="single" w:sz="4" w:space="0" w:color="auto"/>
              <w:bottom w:val="single" w:sz="4" w:space="0" w:color="auto"/>
              <w:right w:val="single" w:sz="4" w:space="0" w:color="auto"/>
            </w:tcBorders>
          </w:tcPr>
          <w:p w14:paraId="69429D68" w14:textId="77777777" w:rsidR="00E44CC2" w:rsidRPr="00264AE1" w:rsidRDefault="00E44CC2" w:rsidP="00332211">
            <w:pPr>
              <w:pStyle w:val="CZWSPP1wTABELIczwsppoziomu1numeracjiwtabeli"/>
            </w:pPr>
            <w:r>
              <w:t xml:space="preserve">1. </w:t>
            </w:r>
          </w:p>
        </w:tc>
        <w:tc>
          <w:tcPr>
            <w:tcW w:w="3225" w:type="dxa"/>
            <w:tcBorders>
              <w:top w:val="single" w:sz="4" w:space="0" w:color="auto"/>
              <w:left w:val="single" w:sz="4" w:space="0" w:color="auto"/>
              <w:bottom w:val="single" w:sz="4" w:space="0" w:color="auto"/>
              <w:right w:val="single" w:sz="4" w:space="0" w:color="auto"/>
            </w:tcBorders>
            <w:hideMark/>
          </w:tcPr>
          <w:p w14:paraId="3B9D8908" w14:textId="58B79B91" w:rsidR="00E44CC2" w:rsidRPr="00264AE1" w:rsidRDefault="00DF41B6" w:rsidP="00332211">
            <w:pPr>
              <w:pStyle w:val="CZWSPP1wTABELIczwsppoziomu1numeracjiwtabeli"/>
            </w:pPr>
            <w:r>
              <w:t>S</w:t>
            </w:r>
            <w:r w:rsidRPr="00DF41B6">
              <w:t>zczególna sytuacja epidemiologiczna (np. wystąpienie epidemii choroby zakaźnej</w:t>
            </w:r>
            <w:r>
              <w:t>)</w:t>
            </w:r>
          </w:p>
        </w:tc>
        <w:tc>
          <w:tcPr>
            <w:tcW w:w="0" w:type="auto"/>
            <w:tcBorders>
              <w:top w:val="single" w:sz="4" w:space="0" w:color="auto"/>
              <w:left w:val="single" w:sz="4" w:space="0" w:color="auto"/>
              <w:bottom w:val="single" w:sz="4" w:space="0" w:color="auto"/>
              <w:right w:val="single" w:sz="4" w:space="0" w:color="auto"/>
            </w:tcBorders>
            <w:hideMark/>
          </w:tcPr>
          <w:p w14:paraId="259EC11D" w14:textId="77777777" w:rsidR="00E44CC2" w:rsidRPr="00264AE1" w:rsidRDefault="00E44CC2" w:rsidP="00332211">
            <w:pPr>
              <w:pStyle w:val="CZWSPP1wTABELIczwsppoziomu1numeracjiwtabeli"/>
            </w:pPr>
            <w:r>
              <w:t>Okres u</w:t>
            </w:r>
            <w:r w:rsidRPr="00264AE1">
              <w:t>zależn</w:t>
            </w:r>
            <w:r>
              <w:t>iony</w:t>
            </w:r>
            <w:r w:rsidRPr="00264AE1">
              <w:t xml:space="preserve"> od sytuacji epidemiologicznej (takie przypadki należy zgłaszać Komisji Europejskiej w celu podjęcia odpowiednich działań)</w:t>
            </w:r>
            <w:r>
              <w:t>.</w:t>
            </w:r>
          </w:p>
        </w:tc>
      </w:tr>
    </w:tbl>
    <w:p w14:paraId="37D26B1D" w14:textId="77777777" w:rsidR="00264AE1" w:rsidRPr="00264AE1" w:rsidRDefault="00264AE1" w:rsidP="00264AE1"/>
    <w:p w14:paraId="1E63FF52" w14:textId="77777777" w:rsidR="00264AE1" w:rsidRPr="00332211" w:rsidRDefault="00264AE1" w:rsidP="00332211">
      <w:pPr>
        <w:pStyle w:val="NIEARTTEKSTtekstnieartykuowanynppodstprawnarozplubpreambua"/>
        <w:rPr>
          <w:rStyle w:val="Ppogrubienie"/>
        </w:rPr>
      </w:pPr>
      <w:r w:rsidRPr="00332211">
        <w:rPr>
          <w:rStyle w:val="Ppogrubienie"/>
        </w:rPr>
        <w:t>3. Kryteria dyskwalifikacji dawców krwi autologicznej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67"/>
        <w:gridCol w:w="4428"/>
      </w:tblGrid>
      <w:tr w:rsidR="00E44CC2" w14:paraId="51995E25" w14:textId="77777777" w:rsidTr="00E44CC2">
        <w:tc>
          <w:tcPr>
            <w:tcW w:w="675" w:type="dxa"/>
            <w:tcBorders>
              <w:top w:val="single" w:sz="4" w:space="0" w:color="auto"/>
              <w:left w:val="single" w:sz="4" w:space="0" w:color="auto"/>
              <w:bottom w:val="single" w:sz="4" w:space="0" w:color="auto"/>
              <w:right w:val="single" w:sz="4" w:space="0" w:color="auto"/>
            </w:tcBorders>
          </w:tcPr>
          <w:p w14:paraId="7D46A0B6" w14:textId="77777777" w:rsidR="00E44CC2" w:rsidRPr="00332211" w:rsidRDefault="00E44CC2" w:rsidP="00332211">
            <w:pPr>
              <w:pStyle w:val="TEKSTwTABELIWYRODKOWANYtekstwyrodkowanywpoziomie"/>
              <w:rPr>
                <w:rStyle w:val="Ppogrubienie"/>
              </w:rPr>
            </w:pPr>
            <w:r>
              <w:rPr>
                <w:rStyle w:val="Ppogrubienie"/>
              </w:rPr>
              <w:t xml:space="preserve">Lp. </w:t>
            </w:r>
          </w:p>
        </w:tc>
        <w:tc>
          <w:tcPr>
            <w:tcW w:w="4167" w:type="dxa"/>
            <w:tcBorders>
              <w:top w:val="single" w:sz="4" w:space="0" w:color="auto"/>
              <w:left w:val="single" w:sz="4" w:space="0" w:color="auto"/>
              <w:bottom w:val="single" w:sz="4" w:space="0" w:color="auto"/>
              <w:right w:val="single" w:sz="4" w:space="0" w:color="auto"/>
            </w:tcBorders>
            <w:hideMark/>
          </w:tcPr>
          <w:p w14:paraId="1990619A" w14:textId="77777777" w:rsidR="00E44CC2" w:rsidRPr="00332211" w:rsidRDefault="00E44CC2" w:rsidP="00332211">
            <w:pPr>
              <w:pStyle w:val="TEKSTwTABELIWYRODKOWANYtekstwyrodkowanywpoziomie"/>
              <w:rPr>
                <w:rStyle w:val="Ppogrubienie"/>
              </w:rPr>
            </w:pPr>
            <w:r w:rsidRPr="00332211">
              <w:rPr>
                <w:rStyle w:val="Ppogrubienie"/>
              </w:rPr>
              <w:t>Kryterium</w:t>
            </w:r>
          </w:p>
        </w:tc>
        <w:tc>
          <w:tcPr>
            <w:tcW w:w="0" w:type="auto"/>
            <w:tcBorders>
              <w:top w:val="single" w:sz="4" w:space="0" w:color="auto"/>
              <w:left w:val="single" w:sz="4" w:space="0" w:color="auto"/>
              <w:bottom w:val="single" w:sz="4" w:space="0" w:color="auto"/>
              <w:right w:val="single" w:sz="4" w:space="0" w:color="auto"/>
            </w:tcBorders>
            <w:hideMark/>
          </w:tcPr>
          <w:p w14:paraId="52FD119C" w14:textId="77777777" w:rsidR="00E44CC2" w:rsidRPr="00332211" w:rsidRDefault="00E44CC2" w:rsidP="00332211">
            <w:pPr>
              <w:pStyle w:val="TEKSTwTABELIWYRODKOWANYtekstwyrodkowanywpoziomie"/>
              <w:rPr>
                <w:rStyle w:val="Ppogrubienie"/>
              </w:rPr>
            </w:pPr>
            <w:r w:rsidRPr="00332211">
              <w:rPr>
                <w:rStyle w:val="Ppogrubienie"/>
              </w:rPr>
              <w:t>Szczegółowy opis kryterium oraz warunki pobierania krwi od kandydata na dawcę krwi albo dawcy krwi</w:t>
            </w:r>
          </w:p>
        </w:tc>
      </w:tr>
      <w:tr w:rsidR="00E44CC2" w14:paraId="348E5C86" w14:textId="77777777" w:rsidTr="00E44CC2">
        <w:tc>
          <w:tcPr>
            <w:tcW w:w="675" w:type="dxa"/>
            <w:tcBorders>
              <w:top w:val="single" w:sz="4" w:space="0" w:color="auto"/>
              <w:left w:val="single" w:sz="4" w:space="0" w:color="auto"/>
              <w:bottom w:val="single" w:sz="4" w:space="0" w:color="auto"/>
              <w:right w:val="single" w:sz="4" w:space="0" w:color="auto"/>
            </w:tcBorders>
          </w:tcPr>
          <w:p w14:paraId="03BD8E6E" w14:textId="77777777" w:rsidR="00E44CC2" w:rsidRPr="00264AE1" w:rsidRDefault="00E44CC2" w:rsidP="00332211">
            <w:pPr>
              <w:pStyle w:val="CZWSPP1wTABELIczwsppoziomu1numeracjiwtabeli"/>
            </w:pPr>
            <w:r>
              <w:t>1.</w:t>
            </w:r>
          </w:p>
        </w:tc>
        <w:tc>
          <w:tcPr>
            <w:tcW w:w="4167" w:type="dxa"/>
            <w:tcBorders>
              <w:top w:val="single" w:sz="4" w:space="0" w:color="auto"/>
              <w:left w:val="single" w:sz="4" w:space="0" w:color="auto"/>
              <w:bottom w:val="single" w:sz="4" w:space="0" w:color="auto"/>
              <w:right w:val="single" w:sz="4" w:space="0" w:color="auto"/>
            </w:tcBorders>
            <w:hideMark/>
          </w:tcPr>
          <w:p w14:paraId="1A0DD566" w14:textId="77777777" w:rsidR="00E44CC2" w:rsidRPr="00264AE1" w:rsidRDefault="00E44CC2" w:rsidP="00332211">
            <w:pPr>
              <w:pStyle w:val="CZWSPP1wTABELIczwsppoziomu1numeracjiwtabeli"/>
            </w:pPr>
            <w:r w:rsidRPr="00264AE1">
              <w:t>Poważne choroby układu krążenia</w:t>
            </w:r>
            <w:r>
              <w:t>.</w:t>
            </w:r>
          </w:p>
        </w:tc>
        <w:tc>
          <w:tcPr>
            <w:tcW w:w="0" w:type="auto"/>
            <w:tcBorders>
              <w:top w:val="single" w:sz="4" w:space="0" w:color="auto"/>
              <w:left w:val="single" w:sz="4" w:space="0" w:color="auto"/>
              <w:bottom w:val="single" w:sz="4" w:space="0" w:color="auto"/>
              <w:right w:val="single" w:sz="4" w:space="0" w:color="auto"/>
            </w:tcBorders>
            <w:hideMark/>
          </w:tcPr>
          <w:p w14:paraId="1FC06FD1" w14:textId="77777777" w:rsidR="00E44CC2" w:rsidRPr="00264AE1" w:rsidRDefault="00E44CC2" w:rsidP="00332211">
            <w:pPr>
              <w:pStyle w:val="CZWSPP1wTABELIczwsppoziomu1numeracjiwtabeli"/>
            </w:pPr>
            <w:r w:rsidRPr="00264AE1">
              <w:t>Decyduje lekarz prowadzący</w:t>
            </w:r>
            <w:r>
              <w:t>.</w:t>
            </w:r>
          </w:p>
        </w:tc>
      </w:tr>
      <w:tr w:rsidR="00E44CC2" w14:paraId="0D84447E" w14:textId="77777777" w:rsidTr="00E44CC2">
        <w:tc>
          <w:tcPr>
            <w:tcW w:w="675" w:type="dxa"/>
            <w:tcBorders>
              <w:top w:val="single" w:sz="4" w:space="0" w:color="auto"/>
              <w:left w:val="single" w:sz="4" w:space="0" w:color="auto"/>
              <w:bottom w:val="single" w:sz="4" w:space="0" w:color="auto"/>
              <w:right w:val="single" w:sz="4" w:space="0" w:color="auto"/>
            </w:tcBorders>
          </w:tcPr>
          <w:p w14:paraId="548051FA" w14:textId="77777777" w:rsidR="00E44CC2" w:rsidRPr="00264AE1" w:rsidRDefault="00E44CC2" w:rsidP="00332211">
            <w:pPr>
              <w:pStyle w:val="CZWSPP1wTABELIczwsppoziomu1numeracjiwtabeli"/>
            </w:pPr>
            <w:r>
              <w:t>2.</w:t>
            </w:r>
          </w:p>
        </w:tc>
        <w:tc>
          <w:tcPr>
            <w:tcW w:w="4167" w:type="dxa"/>
            <w:tcBorders>
              <w:top w:val="single" w:sz="4" w:space="0" w:color="auto"/>
              <w:left w:val="single" w:sz="4" w:space="0" w:color="auto"/>
              <w:bottom w:val="single" w:sz="4" w:space="0" w:color="auto"/>
              <w:right w:val="single" w:sz="4" w:space="0" w:color="auto"/>
            </w:tcBorders>
            <w:hideMark/>
          </w:tcPr>
          <w:p w14:paraId="59D5C0BB" w14:textId="77777777" w:rsidR="00E44CC2" w:rsidRPr="00264AE1" w:rsidRDefault="00E44CC2" w:rsidP="00332211">
            <w:pPr>
              <w:pStyle w:val="CZWSPP1wTABELIczwsppoziomu1numeracjiwtabeli"/>
            </w:pPr>
            <w:r w:rsidRPr="00264AE1">
              <w:t xml:space="preserve">Osoby, u których wykryto w testach immunoenzymatycznych obecność markerów wirusów: </w:t>
            </w:r>
          </w:p>
          <w:p w14:paraId="784FA8C3" w14:textId="77777777" w:rsidR="00E44CC2" w:rsidRPr="009C4748" w:rsidRDefault="00433A4E" w:rsidP="00332211">
            <w:pPr>
              <w:pStyle w:val="CZWSPP1wTABELIczwsppoziomu1numeracjiwtabeli"/>
              <w:spacing w:after="200"/>
              <w:rPr>
                <w:lang w:val="en-US"/>
              </w:rPr>
            </w:pPr>
            <w:r w:rsidRPr="00433A4E">
              <w:rPr>
                <w:lang w:val="en-US"/>
              </w:rPr>
              <w:t xml:space="preserve">1) HBV; </w:t>
            </w:r>
          </w:p>
          <w:p w14:paraId="230A3116" w14:textId="77777777" w:rsidR="00E44CC2" w:rsidRPr="009C4748" w:rsidRDefault="00433A4E" w:rsidP="00332211">
            <w:pPr>
              <w:pStyle w:val="CZWSPP1wTABELIczwsppoziomu1numeracjiwtabeli"/>
              <w:spacing w:after="200"/>
              <w:rPr>
                <w:lang w:val="en-US"/>
              </w:rPr>
            </w:pPr>
            <w:r w:rsidRPr="00433A4E">
              <w:rPr>
                <w:lang w:val="en-US"/>
              </w:rPr>
              <w:t xml:space="preserve">2) HCV; </w:t>
            </w:r>
          </w:p>
          <w:p w14:paraId="5909D05D" w14:textId="123FC911" w:rsidR="00E44CC2" w:rsidRPr="009C4748" w:rsidRDefault="00433A4E" w:rsidP="00332211">
            <w:pPr>
              <w:pStyle w:val="CZWSPP1wTABELIczwsppoziomu1numeracjiwtabeli"/>
              <w:spacing w:after="200"/>
              <w:rPr>
                <w:lang w:val="en-US"/>
              </w:rPr>
            </w:pPr>
            <w:r w:rsidRPr="00433A4E">
              <w:rPr>
                <w:lang w:val="en-US"/>
              </w:rPr>
              <w:t>3) HIV</w:t>
            </w:r>
            <w:r w:rsidR="00516D36" w:rsidRPr="00965528">
              <w:rPr>
                <w:lang w:val="en-US"/>
              </w:rPr>
              <w:t>;</w:t>
            </w:r>
          </w:p>
          <w:p w14:paraId="688B628A" w14:textId="77777777" w:rsidR="00E44CC2" w:rsidRPr="009C4748" w:rsidRDefault="00433A4E" w:rsidP="001F0704">
            <w:pPr>
              <w:pStyle w:val="CZWSPP1wTABELIczwsppoziomu1numeracjiwtabeli"/>
              <w:spacing w:after="200"/>
              <w:rPr>
                <w:lang w:val="en-US"/>
              </w:rPr>
            </w:pPr>
            <w:r w:rsidRPr="00433A4E">
              <w:rPr>
                <w:lang w:val="en-US"/>
              </w:rPr>
              <w:t>4)HTLV I/II.</w:t>
            </w:r>
          </w:p>
        </w:tc>
        <w:tc>
          <w:tcPr>
            <w:tcW w:w="0" w:type="auto"/>
            <w:tcBorders>
              <w:top w:val="single" w:sz="4" w:space="0" w:color="auto"/>
              <w:left w:val="single" w:sz="4" w:space="0" w:color="auto"/>
              <w:bottom w:val="single" w:sz="4" w:space="0" w:color="auto"/>
              <w:right w:val="single" w:sz="4" w:space="0" w:color="auto"/>
            </w:tcBorders>
            <w:hideMark/>
          </w:tcPr>
          <w:p w14:paraId="46503168" w14:textId="77777777" w:rsidR="00E44CC2" w:rsidRPr="00264AE1" w:rsidRDefault="00E44CC2" w:rsidP="00332211">
            <w:pPr>
              <w:pStyle w:val="CZWSPP1wTABELIczwsppoziomu1numeracjiwtabeli"/>
            </w:pPr>
            <w:r w:rsidRPr="00264AE1">
              <w:t>W uzasadnionych przypadkach lekarz może dopuścić do pobrania krwi</w:t>
            </w:r>
            <w:r>
              <w:t>.</w:t>
            </w:r>
          </w:p>
        </w:tc>
      </w:tr>
      <w:tr w:rsidR="00E44CC2" w14:paraId="61061B40" w14:textId="77777777" w:rsidTr="00E44CC2">
        <w:tc>
          <w:tcPr>
            <w:tcW w:w="675" w:type="dxa"/>
            <w:tcBorders>
              <w:top w:val="single" w:sz="4" w:space="0" w:color="auto"/>
              <w:left w:val="single" w:sz="4" w:space="0" w:color="auto"/>
              <w:bottom w:val="single" w:sz="4" w:space="0" w:color="auto"/>
              <w:right w:val="single" w:sz="4" w:space="0" w:color="auto"/>
            </w:tcBorders>
          </w:tcPr>
          <w:p w14:paraId="264443DB" w14:textId="77777777" w:rsidR="00E44CC2" w:rsidRPr="00264AE1" w:rsidRDefault="00E44CC2" w:rsidP="00332211">
            <w:pPr>
              <w:pStyle w:val="CZWSPP1wTABELIczwsppoziomu1numeracjiwtabeli"/>
            </w:pPr>
            <w:r>
              <w:t>3.</w:t>
            </w:r>
          </w:p>
        </w:tc>
        <w:tc>
          <w:tcPr>
            <w:tcW w:w="4167" w:type="dxa"/>
            <w:tcBorders>
              <w:top w:val="single" w:sz="4" w:space="0" w:color="auto"/>
              <w:left w:val="single" w:sz="4" w:space="0" w:color="auto"/>
              <w:bottom w:val="single" w:sz="4" w:space="0" w:color="auto"/>
              <w:right w:val="single" w:sz="4" w:space="0" w:color="auto"/>
            </w:tcBorders>
            <w:hideMark/>
          </w:tcPr>
          <w:p w14:paraId="23EBF73C" w14:textId="77777777" w:rsidR="00E44CC2" w:rsidRPr="00264AE1" w:rsidRDefault="00E44CC2" w:rsidP="00332211">
            <w:pPr>
              <w:pStyle w:val="CZWSPP1wTABELIczwsppoziomu1numeracjiwtabeli"/>
            </w:pPr>
            <w:r w:rsidRPr="00264AE1">
              <w:t>Aktywne zakażenie bakteryjne</w:t>
            </w:r>
            <w:r>
              <w:t>.</w:t>
            </w:r>
          </w:p>
        </w:tc>
        <w:tc>
          <w:tcPr>
            <w:tcW w:w="0" w:type="auto"/>
            <w:tcBorders>
              <w:top w:val="single" w:sz="4" w:space="0" w:color="auto"/>
              <w:left w:val="single" w:sz="4" w:space="0" w:color="auto"/>
              <w:bottom w:val="single" w:sz="4" w:space="0" w:color="auto"/>
              <w:right w:val="single" w:sz="4" w:space="0" w:color="auto"/>
            </w:tcBorders>
          </w:tcPr>
          <w:p w14:paraId="2E7887FF" w14:textId="77777777" w:rsidR="00E44CC2" w:rsidRPr="00264AE1" w:rsidRDefault="00E44CC2" w:rsidP="00332211">
            <w:pPr>
              <w:pStyle w:val="CZWSPP1wTABELIczwsppoziomu1numeracjiwtabeli"/>
            </w:pPr>
          </w:p>
        </w:tc>
      </w:tr>
    </w:tbl>
    <w:p w14:paraId="42504961" w14:textId="77777777" w:rsidR="00264AE1" w:rsidRPr="000F2696" w:rsidRDefault="00264AE1" w:rsidP="00AB0EB2">
      <w:pPr>
        <w:pStyle w:val="TEKSTwTABELIWYRODKOWANYtekstwyrodkowanywpoziomie"/>
      </w:pPr>
    </w:p>
    <w:p w14:paraId="1D1BF3FE" w14:textId="77777777" w:rsidR="009569CD" w:rsidRDefault="006F70BA" w:rsidP="007D2473">
      <w:pPr>
        <w:pStyle w:val="OZNZACZNIKAwskazanienrzacznika"/>
      </w:pPr>
      <w:r>
        <w:br w:type="page"/>
      </w:r>
      <w:r w:rsidR="00C94859" w:rsidRPr="00C94859">
        <w:lastRenderedPageBreak/>
        <w:t xml:space="preserve">Załącznik </w:t>
      </w:r>
      <w:r w:rsidR="00C94859">
        <w:t xml:space="preserve">nr 3 </w:t>
      </w:r>
    </w:p>
    <w:p w14:paraId="546C2460" w14:textId="77777777" w:rsidR="00552038" w:rsidRDefault="00332211" w:rsidP="00332211">
      <w:pPr>
        <w:pStyle w:val="TEKSTwTABELIWYRODKOWANYtekstwyrodkowanywpoziomie"/>
      </w:pPr>
      <w:r w:rsidRPr="00332211">
        <w:t>Dopuszczalna ilość oddanej krwi i częstotliwość jej oddawania</w:t>
      </w:r>
    </w:p>
    <w:p w14:paraId="53BC4D31" w14:textId="77777777" w:rsidR="00332211" w:rsidRDefault="00332211" w:rsidP="00552038"/>
    <w:p w14:paraId="79EA343A" w14:textId="77777777" w:rsidR="00332211" w:rsidRPr="00332211" w:rsidRDefault="00332211" w:rsidP="00332211">
      <w:pPr>
        <w:pStyle w:val="USTustnpkodeksu"/>
        <w:rPr>
          <w:rStyle w:val="Ppogrubienie"/>
        </w:rPr>
      </w:pPr>
      <w:r w:rsidRPr="00332211">
        <w:rPr>
          <w:rStyle w:val="Ppogrubienie"/>
        </w:rPr>
        <w:t>I. Krew pełna</w:t>
      </w:r>
    </w:p>
    <w:p w14:paraId="28E296B3" w14:textId="77777777" w:rsidR="00332211" w:rsidRPr="00332211" w:rsidRDefault="00332211" w:rsidP="00332211">
      <w:pPr>
        <w:pStyle w:val="PKTpunkt"/>
      </w:pPr>
      <w:r w:rsidRPr="00332211">
        <w:t>1.</w:t>
      </w:r>
      <w:r w:rsidRPr="00332211">
        <w:tab/>
      </w:r>
      <w:r w:rsidR="00DC206B">
        <w:t>Jest</w:t>
      </w:r>
      <w:r w:rsidRPr="00332211">
        <w:t xml:space="preserve"> pobierana nie częściej niż 6 razy w roku od mężczyzn i nie częściej niż 4 razy w roku od kobiet, z tym, że przerwa pomiędzy pobraniami nie może być krótsza niż 8 tygodni.</w:t>
      </w:r>
    </w:p>
    <w:p w14:paraId="17BC0DCC" w14:textId="77777777" w:rsidR="00332211" w:rsidRPr="00332211" w:rsidRDefault="00332211" w:rsidP="00332211">
      <w:pPr>
        <w:pStyle w:val="PKTpunkt"/>
      </w:pPr>
      <w:r w:rsidRPr="00332211">
        <w:t>2.</w:t>
      </w:r>
      <w:r w:rsidRPr="00332211">
        <w:tab/>
        <w:t>Jednorazowo od osoby ważącej co najmniej 50 kg lub więcej można pobrać 450 ± 45 ml krwi (l jednostka).</w:t>
      </w:r>
    </w:p>
    <w:p w14:paraId="246A0A80" w14:textId="77777777" w:rsidR="00332211" w:rsidRPr="00332211" w:rsidRDefault="00332211" w:rsidP="00332211">
      <w:pPr>
        <w:pStyle w:val="PKTpunkt"/>
      </w:pPr>
      <w:r w:rsidRPr="00332211">
        <w:t>3.</w:t>
      </w:r>
      <w:r w:rsidRPr="00332211">
        <w:tab/>
        <w:t xml:space="preserve">Jeżeli dawca krwi został poddany zabiegowi aferezy, pobranie krwi pełnej </w:t>
      </w:r>
      <w:r w:rsidR="00E44CC2">
        <w:t>następuje</w:t>
      </w:r>
      <w:r w:rsidRPr="00332211">
        <w:t xml:space="preserve"> po </w:t>
      </w:r>
      <w:r w:rsidR="00E44CC2">
        <w:t xml:space="preserve">upływie </w:t>
      </w:r>
      <w:r w:rsidRPr="00332211">
        <w:t xml:space="preserve">48 godzin od tego zabiegu, z wyjątkiem zabiegu </w:t>
      </w:r>
      <w:proofErr w:type="spellStart"/>
      <w:r w:rsidRPr="00332211">
        <w:t>erytroaferezy</w:t>
      </w:r>
      <w:proofErr w:type="spellEnd"/>
      <w:r w:rsidRPr="00332211">
        <w:t>.</w:t>
      </w:r>
    </w:p>
    <w:p w14:paraId="13219D9B" w14:textId="77777777" w:rsidR="00332211" w:rsidRDefault="00332211" w:rsidP="00332211">
      <w:pPr>
        <w:pStyle w:val="PKTpunkt"/>
      </w:pPr>
      <w:r w:rsidRPr="00332211">
        <w:t>4.</w:t>
      </w:r>
      <w:r w:rsidRPr="00332211">
        <w:tab/>
        <w:t xml:space="preserve">Całkowita jednorazowa utrata krwinek czerwonych przez dawcę nie może przekroczyć wartości, która w warunkach </w:t>
      </w:r>
      <w:proofErr w:type="spellStart"/>
      <w:r w:rsidRPr="00332211">
        <w:t>izowolemicznych</w:t>
      </w:r>
      <w:proofErr w:type="spellEnd"/>
      <w:r w:rsidRPr="00332211">
        <w:t xml:space="preserve"> doprowadziłaby do obniżenia stężenia hemoglobiny u dawcy poniżej 110 g/l (6,8 </w:t>
      </w:r>
      <w:proofErr w:type="spellStart"/>
      <w:r w:rsidRPr="00332211">
        <w:t>mmol</w:t>
      </w:r>
      <w:proofErr w:type="spellEnd"/>
      <w:r w:rsidRPr="00332211">
        <w:t>/l).</w:t>
      </w:r>
    </w:p>
    <w:p w14:paraId="0BA7F344" w14:textId="77777777" w:rsidR="00332211" w:rsidRPr="00332211" w:rsidRDefault="00332211" w:rsidP="00332211">
      <w:pPr>
        <w:pStyle w:val="PKTpunkt"/>
      </w:pPr>
    </w:p>
    <w:p w14:paraId="452C34C5" w14:textId="77777777" w:rsidR="00332211" w:rsidRPr="00332211" w:rsidRDefault="00332211" w:rsidP="00332211">
      <w:pPr>
        <w:pStyle w:val="USTustnpkodeksu"/>
        <w:rPr>
          <w:rStyle w:val="Ppogrubienie"/>
        </w:rPr>
      </w:pPr>
      <w:r w:rsidRPr="00332211">
        <w:rPr>
          <w:rStyle w:val="Ppogrubienie"/>
        </w:rPr>
        <w:t>II. Osocze</w:t>
      </w:r>
    </w:p>
    <w:p w14:paraId="4BF144D4" w14:textId="16D7EBC2" w:rsidR="00332211" w:rsidRPr="00332211" w:rsidRDefault="00332211" w:rsidP="00332211">
      <w:pPr>
        <w:pStyle w:val="PKTpunkt"/>
      </w:pPr>
      <w:r w:rsidRPr="00332211">
        <w:t>1.</w:t>
      </w:r>
      <w:r w:rsidRPr="00332211">
        <w:tab/>
        <w:t xml:space="preserve">Objętość każdorazowo pobieranego osocza (bez antykoagulantu) nie przekracza 16% szacowanej całkowitej objętości krwi, obliczonej na podstawie płci, wzrostu i </w:t>
      </w:r>
      <w:r w:rsidR="009120F5">
        <w:t>wagi</w:t>
      </w:r>
      <w:r w:rsidR="009120F5" w:rsidRPr="00264AE1">
        <w:t xml:space="preserve"> </w:t>
      </w:r>
      <w:r w:rsidRPr="00332211">
        <w:t xml:space="preserve">ciała dawcy. Odpowiada to w przybliżeniu 10 ml objętości pobieranej na 1 kg </w:t>
      </w:r>
      <w:proofErr w:type="spellStart"/>
      <w:r w:rsidRPr="00332211">
        <w:t>m.c</w:t>
      </w:r>
      <w:proofErr w:type="spellEnd"/>
      <w:r w:rsidRPr="00332211">
        <w:t>.</w:t>
      </w:r>
    </w:p>
    <w:p w14:paraId="01EA5C00" w14:textId="77777777" w:rsidR="00332211" w:rsidRPr="00332211" w:rsidRDefault="00332211" w:rsidP="00332211">
      <w:pPr>
        <w:pStyle w:val="PKTpunkt"/>
      </w:pPr>
      <w:r w:rsidRPr="00332211">
        <w:t>2.</w:t>
      </w:r>
      <w:r w:rsidRPr="00332211">
        <w:tab/>
        <w:t>Od jednego dawcy nie można pobrać w okresie roku więcej niż 25 litrów (objętość netto, bez antykoagulantu) osocza.</w:t>
      </w:r>
    </w:p>
    <w:p w14:paraId="16D81D75" w14:textId="77777777" w:rsidR="00332211" w:rsidRPr="00332211" w:rsidRDefault="00332211" w:rsidP="00332211">
      <w:pPr>
        <w:pStyle w:val="PKTpunkt"/>
      </w:pPr>
      <w:r w:rsidRPr="00332211">
        <w:t>3.</w:t>
      </w:r>
      <w:r w:rsidRPr="00332211">
        <w:tab/>
        <w:t>Od jednego dawcy można pobrać w okresie jednego tygodnia nie więcej niż 1,5 litra (objętość netto, bez antykoagulantu) osocza.</w:t>
      </w:r>
    </w:p>
    <w:p w14:paraId="7BEEC07C" w14:textId="77777777" w:rsidR="00332211" w:rsidRPr="00332211" w:rsidRDefault="00332211" w:rsidP="00332211">
      <w:pPr>
        <w:pStyle w:val="PKTpunkt"/>
      </w:pPr>
      <w:r w:rsidRPr="00332211">
        <w:t>4.</w:t>
      </w:r>
      <w:r w:rsidRPr="00332211">
        <w:tab/>
        <w:t>Jednorazowo, bez uzupełnienia objętości krwi krążącej, od dawcy można pobrać metodą plazmaferezy 650 ml osocza (objętość netto, bez antykoagulantu).</w:t>
      </w:r>
    </w:p>
    <w:p w14:paraId="115B419F" w14:textId="77777777" w:rsidR="00332211" w:rsidRPr="00332211" w:rsidRDefault="00332211" w:rsidP="00332211">
      <w:pPr>
        <w:pStyle w:val="PKTpunkt"/>
      </w:pPr>
      <w:r w:rsidRPr="00332211">
        <w:t>5.</w:t>
      </w:r>
      <w:r w:rsidRPr="00332211">
        <w:tab/>
        <w:t>Przerwa pomiędzy pobraniami osocza metodą plazmaferezy nie może być krótsza niż 2 tygodnie, chyba, że lekarz wyrazi zgodę na skrócenie tej przerwy.</w:t>
      </w:r>
    </w:p>
    <w:p w14:paraId="74F12BE1" w14:textId="77777777" w:rsidR="00332211" w:rsidRDefault="00332211" w:rsidP="00332211">
      <w:pPr>
        <w:pStyle w:val="PKTpunkt"/>
      </w:pPr>
      <w:r w:rsidRPr="00332211">
        <w:t>6.</w:t>
      </w:r>
      <w:r w:rsidRPr="00332211">
        <w:tab/>
        <w:t>Pobranie osocza metodą plazmaferezy może być wykonane po przerwie wynoszącej co najmniej 30 dni od dnia pobrania krwi pełnej.</w:t>
      </w:r>
    </w:p>
    <w:p w14:paraId="632D3CA4" w14:textId="77777777" w:rsidR="00332211" w:rsidRPr="00332211" w:rsidRDefault="00332211" w:rsidP="00332211">
      <w:pPr>
        <w:pStyle w:val="PKTpunkt"/>
      </w:pPr>
    </w:p>
    <w:p w14:paraId="597C3A9D" w14:textId="77777777" w:rsidR="00332211" w:rsidRPr="00332211" w:rsidRDefault="00332211" w:rsidP="00332211">
      <w:pPr>
        <w:pStyle w:val="USTustnpkodeksu"/>
        <w:rPr>
          <w:rStyle w:val="Ppogrubienie"/>
        </w:rPr>
      </w:pPr>
      <w:r w:rsidRPr="00332211">
        <w:rPr>
          <w:rStyle w:val="Ppogrubienie"/>
        </w:rPr>
        <w:t>III. Zabiegi aferezy</w:t>
      </w:r>
    </w:p>
    <w:p w14:paraId="0DE18D7A" w14:textId="77777777" w:rsidR="00332211" w:rsidRPr="00332211" w:rsidRDefault="00332211" w:rsidP="00332211">
      <w:pPr>
        <w:pStyle w:val="PKTpunkt"/>
      </w:pPr>
      <w:r w:rsidRPr="00332211">
        <w:lastRenderedPageBreak/>
        <w:t>1.</w:t>
      </w:r>
      <w:r w:rsidRPr="00332211">
        <w:tab/>
        <w:t xml:space="preserve">Zabiegi </w:t>
      </w:r>
      <w:proofErr w:type="spellStart"/>
      <w:r w:rsidRPr="00332211">
        <w:t>trombaferezy</w:t>
      </w:r>
      <w:proofErr w:type="spellEnd"/>
      <w:r w:rsidRPr="00332211">
        <w:t xml:space="preserve"> i </w:t>
      </w:r>
      <w:proofErr w:type="spellStart"/>
      <w:r w:rsidRPr="00332211">
        <w:t>leukaferezy</w:t>
      </w:r>
      <w:proofErr w:type="spellEnd"/>
      <w:r w:rsidRPr="00332211">
        <w:t xml:space="preserve"> mogą być wykonywane nie częściej niż 12 razy w roku.</w:t>
      </w:r>
    </w:p>
    <w:p w14:paraId="20FD3F23" w14:textId="77777777" w:rsidR="00332211" w:rsidRPr="00332211" w:rsidRDefault="00332211" w:rsidP="00332211">
      <w:pPr>
        <w:pStyle w:val="PKTpunkt"/>
      </w:pPr>
      <w:r w:rsidRPr="00332211">
        <w:t>2.</w:t>
      </w:r>
      <w:r w:rsidRPr="00332211">
        <w:tab/>
        <w:t xml:space="preserve">Przerwy między zabiegami </w:t>
      </w:r>
      <w:proofErr w:type="spellStart"/>
      <w:r w:rsidRPr="00332211">
        <w:t>trombaferezy</w:t>
      </w:r>
      <w:proofErr w:type="spellEnd"/>
      <w:r w:rsidRPr="00332211">
        <w:t xml:space="preserve"> i </w:t>
      </w:r>
      <w:proofErr w:type="spellStart"/>
      <w:r w:rsidRPr="00332211">
        <w:t>leukaferezy</w:t>
      </w:r>
      <w:proofErr w:type="spellEnd"/>
      <w:r w:rsidRPr="00332211">
        <w:t xml:space="preserve"> nie </w:t>
      </w:r>
      <w:r w:rsidR="001D0E34">
        <w:t>są</w:t>
      </w:r>
      <w:r w:rsidRPr="00332211">
        <w:t xml:space="preserve"> krótsze niż 4 tygodnie.</w:t>
      </w:r>
    </w:p>
    <w:p w14:paraId="2E6BF5F0" w14:textId="77777777" w:rsidR="00332211" w:rsidRPr="00332211" w:rsidRDefault="00332211" w:rsidP="00332211">
      <w:pPr>
        <w:pStyle w:val="PKTpunkt"/>
      </w:pPr>
      <w:r w:rsidRPr="00332211">
        <w:t>3.</w:t>
      </w:r>
      <w:r w:rsidRPr="00332211">
        <w:tab/>
        <w:t>W szczególnych przypadkach, takich jak konieczność kilkakrotnego przetoczenia krwinek płytkowych od jednego dawcy, przerwy między zabiegami mogą zostać</w:t>
      </w:r>
      <w:r w:rsidR="001D0E34">
        <w:t>,</w:t>
      </w:r>
      <w:r w:rsidRPr="00332211">
        <w:t xml:space="preserve"> za zgodą lekarza</w:t>
      </w:r>
      <w:r w:rsidR="001D0E34">
        <w:t>,</w:t>
      </w:r>
      <w:r w:rsidRPr="00332211">
        <w:t xml:space="preserve"> skrócone do 48 godzin.</w:t>
      </w:r>
    </w:p>
    <w:p w14:paraId="7EC6B1F4" w14:textId="77777777" w:rsidR="00332211" w:rsidRPr="00332211" w:rsidRDefault="00332211" w:rsidP="00332211">
      <w:pPr>
        <w:pStyle w:val="PKTpunkt"/>
      </w:pPr>
      <w:r w:rsidRPr="00332211">
        <w:t>4.</w:t>
      </w:r>
      <w:r w:rsidRPr="00332211">
        <w:tab/>
        <w:t xml:space="preserve">W przypadku pobierania metodą aferezy jednocześnie osocza, krwinek płytkowych lub krwinek czerwonych, łączna objętość pobranych składników krwi netto nie przekracza 13% całkowitej objętości krwi dawcy, jednakże maksymalnie 650 ml. W razie przekroczenia tej objętości </w:t>
      </w:r>
      <w:r w:rsidR="001D0E34">
        <w:t>stosuje się</w:t>
      </w:r>
      <w:r w:rsidRPr="00332211">
        <w:t xml:space="preserve"> odpowiedni płyn uzupełniający.</w:t>
      </w:r>
    </w:p>
    <w:p w14:paraId="27A5DF91" w14:textId="77777777" w:rsidR="00332211" w:rsidRPr="00332211" w:rsidRDefault="00332211" w:rsidP="00332211">
      <w:pPr>
        <w:pStyle w:val="PKTpunkt"/>
      </w:pPr>
      <w:r w:rsidRPr="00332211">
        <w:t>5.</w:t>
      </w:r>
      <w:r w:rsidRPr="00332211">
        <w:tab/>
        <w:t xml:space="preserve">Przerwa pomiędzy dwoma kolejnymi </w:t>
      </w:r>
      <w:proofErr w:type="spellStart"/>
      <w:r w:rsidRPr="00332211">
        <w:t>oddaniami</w:t>
      </w:r>
      <w:proofErr w:type="spellEnd"/>
      <w:r w:rsidRPr="00332211">
        <w:t xml:space="preserve"> koncentratu krwinek czerwonych (</w:t>
      </w:r>
      <w:proofErr w:type="spellStart"/>
      <w:r w:rsidRPr="00332211">
        <w:t>KKCz</w:t>
      </w:r>
      <w:proofErr w:type="spellEnd"/>
      <w:r w:rsidRPr="00332211">
        <w:t xml:space="preserve">) metodą </w:t>
      </w:r>
      <w:proofErr w:type="spellStart"/>
      <w:r w:rsidRPr="00332211">
        <w:t>erytroaferezy</w:t>
      </w:r>
      <w:proofErr w:type="spellEnd"/>
      <w:r w:rsidRPr="00332211">
        <w:t xml:space="preserve"> </w:t>
      </w:r>
      <w:r w:rsidR="001D0E34">
        <w:t>jest</w:t>
      </w:r>
      <w:r w:rsidRPr="00332211">
        <w:t xml:space="preserve"> taka sama, jak w przypadku pobrania krwi pełnej.</w:t>
      </w:r>
    </w:p>
    <w:p w14:paraId="217E9651" w14:textId="5E0C237C" w:rsidR="00332211" w:rsidRPr="00332211" w:rsidRDefault="00332211" w:rsidP="00332211">
      <w:pPr>
        <w:pStyle w:val="PKTpunkt"/>
      </w:pPr>
      <w:r w:rsidRPr="00332211">
        <w:t>6.</w:t>
      </w:r>
      <w:r w:rsidRPr="00332211">
        <w:tab/>
        <w:t xml:space="preserve">Przerwa pomiędzy pobraniem krwi pełnej i pobraniem 2 jednostek </w:t>
      </w:r>
      <w:proofErr w:type="spellStart"/>
      <w:r w:rsidRPr="00332211">
        <w:t>KKCz</w:t>
      </w:r>
      <w:proofErr w:type="spellEnd"/>
      <w:r w:rsidRPr="00332211">
        <w:t xml:space="preserve"> metodą </w:t>
      </w:r>
      <w:proofErr w:type="spellStart"/>
      <w:r w:rsidRPr="00332211">
        <w:t>erytroaferezy</w:t>
      </w:r>
      <w:proofErr w:type="spellEnd"/>
      <w:r w:rsidRPr="00332211">
        <w:t xml:space="preserve"> nie </w:t>
      </w:r>
      <w:r w:rsidR="00ED0A14">
        <w:t xml:space="preserve">może być </w:t>
      </w:r>
      <w:r w:rsidRPr="00332211">
        <w:t>krótsza niż 3 miesiące.</w:t>
      </w:r>
    </w:p>
    <w:p w14:paraId="105976B3" w14:textId="4085B376" w:rsidR="00332211" w:rsidRPr="00332211" w:rsidRDefault="00332211" w:rsidP="00332211">
      <w:pPr>
        <w:pStyle w:val="PKTpunkt"/>
      </w:pPr>
      <w:r w:rsidRPr="00332211">
        <w:t>7.</w:t>
      </w:r>
      <w:r w:rsidRPr="00332211">
        <w:tab/>
        <w:t xml:space="preserve">Przerwa pomiędzy pobraniem 2 jednostek </w:t>
      </w:r>
      <w:proofErr w:type="spellStart"/>
      <w:r w:rsidRPr="00332211">
        <w:t>KKCz</w:t>
      </w:r>
      <w:proofErr w:type="spellEnd"/>
      <w:r w:rsidRPr="00332211">
        <w:t xml:space="preserve"> metodą </w:t>
      </w:r>
      <w:proofErr w:type="spellStart"/>
      <w:r w:rsidRPr="00332211">
        <w:t>erytroaferezy</w:t>
      </w:r>
      <w:proofErr w:type="spellEnd"/>
      <w:r w:rsidR="001D0E34">
        <w:t>,</w:t>
      </w:r>
      <w:r w:rsidRPr="00332211">
        <w:t xml:space="preserve"> a pobraniem krwi pełnej lub następnym zabiegiem podwójnej </w:t>
      </w:r>
      <w:proofErr w:type="spellStart"/>
      <w:r w:rsidRPr="00332211">
        <w:t>erytroaferezy</w:t>
      </w:r>
      <w:proofErr w:type="spellEnd"/>
      <w:r w:rsidRPr="00332211">
        <w:t xml:space="preserve"> nie</w:t>
      </w:r>
      <w:r w:rsidR="0060786F">
        <w:t xml:space="preserve"> może być</w:t>
      </w:r>
      <w:r w:rsidRPr="00332211">
        <w:t xml:space="preserve"> krótsza niż 6 miesięcy; całkowita utrata krwinek czerwonych w ciągu roku nie może przekraczać wartości dozwolonej dla dawców krwi pełnej</w:t>
      </w:r>
      <w:r w:rsidR="00D91E12">
        <w:t xml:space="preserve">; jednorazowo od dawcy można pobrać metodą </w:t>
      </w:r>
      <w:proofErr w:type="spellStart"/>
      <w:r w:rsidR="00D91E12">
        <w:t>erytroaferezy</w:t>
      </w:r>
      <w:proofErr w:type="spellEnd"/>
      <w:r w:rsidR="00D91E12">
        <w:t xml:space="preserve"> najwyżej</w:t>
      </w:r>
      <w:r w:rsidR="00F84577">
        <w:t xml:space="preserve"> 400 ml (objętość bez płynu konserwującego) krwinek czerwonych</w:t>
      </w:r>
      <w:r w:rsidR="00F6027E">
        <w:t xml:space="preserve">. </w:t>
      </w:r>
    </w:p>
    <w:p w14:paraId="532B5943" w14:textId="0EBE93ED" w:rsidR="00332211" w:rsidRDefault="00332211" w:rsidP="00332211">
      <w:pPr>
        <w:pStyle w:val="PKTpunkt"/>
      </w:pPr>
      <w:r w:rsidRPr="00332211">
        <w:t>8.</w:t>
      </w:r>
      <w:r w:rsidRPr="00332211">
        <w:tab/>
        <w:t xml:space="preserve">Przerwa pomiędzy </w:t>
      </w:r>
      <w:r w:rsidR="00BB3A86">
        <w:t>pobraniem</w:t>
      </w:r>
      <w:r w:rsidRPr="00332211">
        <w:t xml:space="preserve"> krwi pełnej lub pobraniem 1 j</w:t>
      </w:r>
      <w:r w:rsidR="00BB3A86">
        <w:t>ednostki</w:t>
      </w:r>
      <w:r w:rsidRPr="00332211">
        <w:t xml:space="preserve"> </w:t>
      </w:r>
      <w:proofErr w:type="spellStart"/>
      <w:r w:rsidRPr="00332211">
        <w:t>KKCz</w:t>
      </w:r>
      <w:proofErr w:type="spellEnd"/>
      <w:r w:rsidRPr="00332211">
        <w:t xml:space="preserve"> metodą </w:t>
      </w:r>
      <w:proofErr w:type="spellStart"/>
      <w:r w:rsidRPr="00332211">
        <w:t>erytroaferezy</w:t>
      </w:r>
      <w:proofErr w:type="spellEnd"/>
      <w:r w:rsidR="00BB3A86">
        <w:t>,</w:t>
      </w:r>
      <w:r w:rsidRPr="00332211">
        <w:t xml:space="preserve"> a </w:t>
      </w:r>
      <w:r w:rsidR="00F6027E" w:rsidRPr="00332211">
        <w:t>następn</w:t>
      </w:r>
      <w:r w:rsidR="00F6027E">
        <w:t>ym</w:t>
      </w:r>
      <w:r w:rsidR="00F6027E" w:rsidRPr="00332211">
        <w:t xml:space="preserve"> </w:t>
      </w:r>
      <w:r w:rsidR="00E44CC2">
        <w:t>pobraniem krwi</w:t>
      </w:r>
      <w:r w:rsidR="00E44CC2" w:rsidRPr="00332211">
        <w:t xml:space="preserve"> </w:t>
      </w:r>
      <w:r w:rsidRPr="00332211">
        <w:t xml:space="preserve">metodą aferezy, </w:t>
      </w:r>
      <w:r w:rsidR="00F6027E" w:rsidRPr="00332211">
        <w:t>nieobejmując</w:t>
      </w:r>
      <w:r w:rsidR="00F6027E">
        <w:t>ym</w:t>
      </w:r>
      <w:r w:rsidR="00F6027E" w:rsidRPr="00332211">
        <w:t xml:space="preserve"> </w:t>
      </w:r>
      <w:r w:rsidRPr="00332211">
        <w:t xml:space="preserve">pobrania </w:t>
      </w:r>
      <w:proofErr w:type="spellStart"/>
      <w:r w:rsidRPr="00332211">
        <w:t>KKCz</w:t>
      </w:r>
      <w:proofErr w:type="spellEnd"/>
      <w:r w:rsidRPr="00332211">
        <w:t>, nie może być krótsza niż 1 miesiąc.</w:t>
      </w:r>
    </w:p>
    <w:p w14:paraId="410C4DEF" w14:textId="77777777" w:rsidR="00332211" w:rsidRPr="00332211" w:rsidRDefault="00332211" w:rsidP="00332211">
      <w:pPr>
        <w:pStyle w:val="PKTpunkt"/>
      </w:pPr>
    </w:p>
    <w:p w14:paraId="1016A790" w14:textId="77777777" w:rsidR="00332211" w:rsidRPr="00332211" w:rsidRDefault="00332211" w:rsidP="00332211">
      <w:pPr>
        <w:pStyle w:val="USTustnpkodeksu"/>
        <w:rPr>
          <w:rStyle w:val="Ppogrubienie"/>
        </w:rPr>
      </w:pPr>
      <w:r w:rsidRPr="00332211">
        <w:rPr>
          <w:rStyle w:val="Ppogrubienie"/>
        </w:rPr>
        <w:t>IV. Inne zabiegi</w:t>
      </w:r>
    </w:p>
    <w:p w14:paraId="5026FBB4" w14:textId="77777777" w:rsidR="003454D3" w:rsidRDefault="00332211" w:rsidP="00332211">
      <w:pPr>
        <w:pStyle w:val="PKTpunkt"/>
      </w:pPr>
      <w:r w:rsidRPr="00332211">
        <w:t>Częstotliwość wykonywania innych zabiegów ustalana jest przez lekarza.</w:t>
      </w:r>
    </w:p>
    <w:p w14:paraId="029311AB" w14:textId="77777777" w:rsidR="00031C9D" w:rsidRDefault="001F5AD3" w:rsidP="00B04A0D">
      <w:pPr>
        <w:pStyle w:val="TYTUAKTUprzedmiotregulacjiustawylubrozporzdzenia"/>
      </w:pPr>
      <w:r>
        <w:br w:type="page"/>
      </w:r>
      <w:r w:rsidR="00031C9D">
        <w:lastRenderedPageBreak/>
        <w:t>UZASADNIENIE</w:t>
      </w:r>
    </w:p>
    <w:p w14:paraId="5F198876" w14:textId="317A3DAD" w:rsidR="003E04BE" w:rsidRPr="003E04BE" w:rsidRDefault="003E04BE" w:rsidP="003E04BE">
      <w:pPr>
        <w:pStyle w:val="NIEARTTEKSTtekstnieartykuowanynppodstprawnarozplubpreambua"/>
      </w:pPr>
      <w:r w:rsidRPr="003E04BE">
        <w:t>Projekt rozporządzenia stanowi wykonanie upoważnienia ustawowego, określonego w art. 16 ust. 7 ustawy z dnia 22 sierpnia 1997 r. o publicznej służbie krwi (Dz. U. z 2014 r. poz. 332 oraz z 2016 r. poz. 823)</w:t>
      </w:r>
      <w:r w:rsidR="006D74CC">
        <w:t>, zwanej dalej „ustawą”</w:t>
      </w:r>
      <w:r w:rsidRPr="003E04BE">
        <w:t>. Zgodnie z tym przepisem projektowane rozporządzenie określa:</w:t>
      </w:r>
    </w:p>
    <w:p w14:paraId="719511AD" w14:textId="77777777" w:rsidR="003E04BE" w:rsidRPr="003E04BE" w:rsidRDefault="003E04BE" w:rsidP="003E04BE">
      <w:pPr>
        <w:pStyle w:val="PKTpunkt"/>
      </w:pPr>
      <w:r w:rsidRPr="003E04BE">
        <w:t>1)</w:t>
      </w:r>
      <w:r>
        <w:tab/>
      </w:r>
      <w:r w:rsidRPr="003E04BE">
        <w:t>kryteria dopuszczenia dawców krwi do oddawania krwi i jej składników;</w:t>
      </w:r>
    </w:p>
    <w:p w14:paraId="7ED3FF86" w14:textId="77777777" w:rsidR="003E04BE" w:rsidRPr="003E04BE" w:rsidRDefault="003E04BE" w:rsidP="003E04BE">
      <w:pPr>
        <w:pStyle w:val="PKTpunkt"/>
      </w:pPr>
      <w:r w:rsidRPr="003E04BE">
        <w:t>2)</w:t>
      </w:r>
      <w:r>
        <w:tab/>
      </w:r>
      <w:r w:rsidRPr="003E04BE">
        <w:t>kryteria dyskwalifikacji stosowane wobec kandydatów na dawców krwi i dawców krwi;</w:t>
      </w:r>
    </w:p>
    <w:p w14:paraId="25FEA441" w14:textId="77777777" w:rsidR="003E04BE" w:rsidRPr="003E04BE" w:rsidRDefault="003E04BE" w:rsidP="003E04BE">
      <w:pPr>
        <w:pStyle w:val="PKTpunkt"/>
      </w:pPr>
      <w:r w:rsidRPr="003E04BE">
        <w:t>3)</w:t>
      </w:r>
      <w:r>
        <w:tab/>
      </w:r>
      <w:r w:rsidRPr="003E04BE">
        <w:t>sposób informowania kandydata na dawcę krwi i dawcy krwi o dyskwalifikacji i jej przyczynie;</w:t>
      </w:r>
    </w:p>
    <w:p w14:paraId="34F00CBC" w14:textId="77777777" w:rsidR="003E04BE" w:rsidRPr="003E04BE" w:rsidRDefault="003E04BE" w:rsidP="003E04BE">
      <w:pPr>
        <w:pStyle w:val="PKTpunkt"/>
      </w:pPr>
      <w:r w:rsidRPr="003E04BE">
        <w:t>4)</w:t>
      </w:r>
      <w:r>
        <w:tab/>
      </w:r>
      <w:r w:rsidRPr="003E04BE">
        <w:t>wykaz badań kwalifikacyjnych i badań diagnostycznych, jakim poddaje się kandydata na dawcę krwi i dawcę krwi;</w:t>
      </w:r>
    </w:p>
    <w:p w14:paraId="782547D5" w14:textId="77777777" w:rsidR="003E04BE" w:rsidRPr="003E04BE" w:rsidRDefault="003E04BE" w:rsidP="003E04BE">
      <w:pPr>
        <w:pStyle w:val="PKTpunkt"/>
      </w:pPr>
      <w:r w:rsidRPr="003E04BE">
        <w:t>5)</w:t>
      </w:r>
      <w:r>
        <w:tab/>
      </w:r>
      <w:r w:rsidRPr="003E04BE">
        <w:t xml:space="preserve">przeciwwskazania do pobrania krwi i jej składników; </w:t>
      </w:r>
    </w:p>
    <w:p w14:paraId="4941B7C8" w14:textId="77777777" w:rsidR="003E04BE" w:rsidRPr="003E04BE" w:rsidRDefault="003E04BE" w:rsidP="003E04BE">
      <w:pPr>
        <w:pStyle w:val="PKTpunkt"/>
      </w:pPr>
      <w:r w:rsidRPr="003E04BE">
        <w:t>6)</w:t>
      </w:r>
      <w:r>
        <w:tab/>
      </w:r>
      <w:r w:rsidRPr="003E04BE">
        <w:t>dopuszczalną ilość oddawanej krwi i jej składników oraz częstotliwość ich oddawania;</w:t>
      </w:r>
    </w:p>
    <w:p w14:paraId="793441CE" w14:textId="77777777" w:rsidR="003E04BE" w:rsidRPr="003E04BE" w:rsidRDefault="003E04BE" w:rsidP="003E04BE">
      <w:pPr>
        <w:pStyle w:val="PKTpunkt"/>
      </w:pPr>
      <w:r w:rsidRPr="003E04BE">
        <w:t>7)</w:t>
      </w:r>
      <w:r>
        <w:tab/>
      </w:r>
      <w:r w:rsidRPr="003E04BE">
        <w:t>szczegółowe warunki dopuszczenia do zabiegu uodpornienia lub innych zabiegów w celu uzyskania osocza lub surowic diagnostycznych;</w:t>
      </w:r>
    </w:p>
    <w:p w14:paraId="64CD66FB" w14:textId="77777777" w:rsidR="003E04BE" w:rsidRPr="003E04BE" w:rsidRDefault="003E04BE" w:rsidP="003E04BE">
      <w:pPr>
        <w:pStyle w:val="PKTpunkt"/>
      </w:pPr>
      <w:r w:rsidRPr="003E04BE">
        <w:t>8)</w:t>
      </w:r>
      <w:r>
        <w:tab/>
      </w:r>
      <w:r w:rsidRPr="003E04BE">
        <w:t>zakres informacji, które powinny być przekazane kandydatowi na dawcę krwi i dawcy krwi przed jej oddaniem, w szczególności dotyczących roli krwi w organizmie i jej znaczenia dla pacjenta, procedury pobrania krwi, konieczności przeprowadzenia badań kwalifikacyjnych i wywiadu medycznego, przebiegu pobrania krwi lub jej składników, możliwych następstw dla stanu zdrowia dawcy krwi, możliwości rezygnacji przez dawcę z oddania krwi lub jej składników, możliwym sposobie wykorzystania krwi i jej składników, w tym o możliwości ich przetworzenia, umożliwiających wyrażenie zgody na oddanie krwi lub jej składników.</w:t>
      </w:r>
    </w:p>
    <w:p w14:paraId="36F4A1CC" w14:textId="070AE736" w:rsidR="003E04BE" w:rsidRDefault="003E04BE" w:rsidP="003E04BE">
      <w:pPr>
        <w:pStyle w:val="NIEARTTEKSTtekstnieartykuowanynppodstprawnarozplubpreambua"/>
      </w:pPr>
      <w:r w:rsidRPr="003E04BE">
        <w:t xml:space="preserve">Projektowane rozporządzenie dostosowuje kryteria dopuszczalnego wieku dla kandydata na dawcę krwi i dawcy krwi zgodnie z wymogiem art. 18 </w:t>
      </w:r>
      <w:r w:rsidR="00234CF2">
        <w:t>d</w:t>
      </w:r>
      <w:r w:rsidRPr="003E04BE">
        <w:t>yrektywy 2002/98/WE</w:t>
      </w:r>
      <w:r w:rsidR="00234CF2">
        <w:t xml:space="preserve"> </w:t>
      </w:r>
      <w:r w:rsidR="00234CF2" w:rsidRPr="00234CF2">
        <w:t>Parlamentu Europejskiego i Rady z dnia 27 stycznia 2003 r. ustanawiającą normy jakości i bezpieczeństwa pobierania, testowania, przetwarzania, przechowywania i dystrybucji krwi ludzkiej i składników krwi oraz zmieniająca dyrektywę 2001/83/WE</w:t>
      </w:r>
      <w:r w:rsidRPr="003E04BE">
        <w:t xml:space="preserve"> (Dz. Urz. UE L 33 z 8.02.2003, str. 30; Dz. Urz. UE, Polskie wydanie specjalne, rozdz. 15, t. 7, str. 346), art. 4 i </w:t>
      </w:r>
      <w:r w:rsidR="00234CF2">
        <w:t>załącznika</w:t>
      </w:r>
      <w:r w:rsidR="00234CF2" w:rsidRPr="003E04BE">
        <w:t xml:space="preserve"> </w:t>
      </w:r>
      <w:r w:rsidRPr="003E04BE">
        <w:t>III</w:t>
      </w:r>
      <w:r w:rsidR="00234CF2">
        <w:t xml:space="preserve"> do</w:t>
      </w:r>
      <w:r w:rsidRPr="003E04BE">
        <w:t xml:space="preserve"> </w:t>
      </w:r>
      <w:r w:rsidR="00234CF2">
        <w:t>d</w:t>
      </w:r>
      <w:r w:rsidRPr="003E04BE">
        <w:t>yrektywy</w:t>
      </w:r>
      <w:r w:rsidR="00234CF2">
        <w:t xml:space="preserve"> Komisji</w:t>
      </w:r>
      <w:r w:rsidRPr="003E04BE">
        <w:t xml:space="preserve"> 2004/33/WE</w:t>
      </w:r>
      <w:r w:rsidR="00234CF2">
        <w:t xml:space="preserve"> </w:t>
      </w:r>
      <w:r w:rsidR="00234CF2" w:rsidRPr="00234CF2">
        <w:t>z dnia 22 marca 2004 r. wykonującej dyrektywę 2002/98/WE Parlamentu Europejskiego i Rady w zakresie niektórych wymagań technicznych dotyczących krwi i składników krwi</w:t>
      </w:r>
      <w:r w:rsidRPr="003E04BE">
        <w:t xml:space="preserve"> (Dz. Urz. UE L 91 z 30.3.2004, str. 272; </w:t>
      </w:r>
      <w:r w:rsidRPr="003E04BE">
        <w:lastRenderedPageBreak/>
        <w:t>Dz. Urz. UE, Polskie Wydanie Specjalne, rozdz. 15, t. 8, str. 272), tzn. dopuszcza w przypadku szczególnych okoliczności pobieranie krwi i jej składników od osób powyżej siedemnastego roku życia.</w:t>
      </w:r>
      <w:r w:rsidR="00E56718">
        <w:t xml:space="preserve"> </w:t>
      </w:r>
    </w:p>
    <w:p w14:paraId="6F7CE8D9" w14:textId="19950CFD" w:rsidR="005A73C6" w:rsidRDefault="00E56718" w:rsidP="00573561">
      <w:pPr>
        <w:pStyle w:val="ARTartustawynprozporzdzenia"/>
      </w:pPr>
      <w:r>
        <w:t>Zgodnie z art</w:t>
      </w:r>
      <w:r w:rsidR="005A73C6">
        <w:t xml:space="preserve">. 15 ust. </w:t>
      </w:r>
      <w:r w:rsidR="005B732A">
        <w:t>1 pkt 3</w:t>
      </w:r>
      <w:r w:rsidR="005A73C6">
        <w:t xml:space="preserve"> ustawy rozporządzenie uszczegóławia kryteria dla</w:t>
      </w:r>
      <w:r w:rsidR="005A73C6" w:rsidRPr="005A73C6">
        <w:t xml:space="preserve"> kandydat</w:t>
      </w:r>
      <w:r w:rsidR="006D74CC">
        <w:t>a</w:t>
      </w:r>
      <w:r w:rsidR="005A73C6" w:rsidRPr="005A73C6">
        <w:t xml:space="preserve"> na dawcę krwi lub dawc</w:t>
      </w:r>
      <w:r w:rsidR="005A73C6">
        <w:t>y</w:t>
      </w:r>
      <w:r w:rsidR="005A73C6" w:rsidRPr="005A73C6">
        <w:t xml:space="preserve"> krwi </w:t>
      </w:r>
      <w:r w:rsidR="005A73C6">
        <w:t>dotyczycące spełnia wymagań</w:t>
      </w:r>
      <w:r w:rsidR="005A73C6" w:rsidRPr="005A73C6">
        <w:t xml:space="preserve"> zdrowotn</w:t>
      </w:r>
      <w:r w:rsidR="005A73C6">
        <w:t>ych</w:t>
      </w:r>
      <w:r w:rsidR="005A73C6" w:rsidRPr="005A73C6">
        <w:t xml:space="preserve"> </w:t>
      </w:r>
      <w:r w:rsidR="005A73C6">
        <w:t>oraz odnosi się do tego czy</w:t>
      </w:r>
      <w:r w:rsidR="005A73C6" w:rsidRPr="005A73C6">
        <w:t xml:space="preserve"> pobranie krwi lub jej składników nie spowoduje ujemnych skutków dla stanu zdrowia </w:t>
      </w:r>
      <w:r w:rsidR="005A73C6">
        <w:t xml:space="preserve">tego kandydata na dawcę krwi lub dawcy krwi. </w:t>
      </w:r>
    </w:p>
    <w:p w14:paraId="498B7B6D" w14:textId="5FD21ED0" w:rsidR="00E56718" w:rsidRPr="00E56718" w:rsidRDefault="005A73C6" w:rsidP="00573561">
      <w:pPr>
        <w:pStyle w:val="ARTartustawynprozporzdzenia"/>
      </w:pPr>
      <w:r>
        <w:t>Dawcą krwi, zgodnie z definicją zawartą w ustawie jest osoba</w:t>
      </w:r>
      <w:r w:rsidRPr="005A73C6">
        <w:t>, która oddała krew lub jej składnik, a więc</w:t>
      </w:r>
      <w:r>
        <w:t xml:space="preserve"> nawet</w:t>
      </w:r>
      <w:r w:rsidRPr="005A73C6">
        <w:t xml:space="preserve"> już wcześniej (co najmniej jeden raz w życiu), a kandydat na dawcę krwi to osoba, która zgłosiła się do centrum krwiodawstwa</w:t>
      </w:r>
      <w:r>
        <w:t xml:space="preserve"> i krwiolecznictwa</w:t>
      </w:r>
      <w:r w:rsidRPr="005A73C6">
        <w:t xml:space="preserve">, pierwszy raz, z zamiarem oddania krwi lub jej składników, czyli nigdy wcześniej nie oddała krwi. </w:t>
      </w:r>
      <w:r>
        <w:t>W z</w:t>
      </w:r>
      <w:r w:rsidRPr="005A73C6">
        <w:t>ałącznik</w:t>
      </w:r>
      <w:r>
        <w:t>u</w:t>
      </w:r>
      <w:r w:rsidRPr="005A73C6">
        <w:t xml:space="preserve"> nr 2</w:t>
      </w:r>
      <w:r>
        <w:t xml:space="preserve"> do rozporządzenia</w:t>
      </w:r>
      <w:r w:rsidRPr="005A73C6">
        <w:t xml:space="preserve"> </w:t>
      </w:r>
      <w:r>
        <w:t xml:space="preserve">zawarte są </w:t>
      </w:r>
      <w:r w:rsidR="002D2ABB">
        <w:t xml:space="preserve">kryteria </w:t>
      </w:r>
      <w:r w:rsidRPr="005A73C6">
        <w:t>dyskwalifikacj</w:t>
      </w:r>
      <w:r w:rsidR="002D2ABB">
        <w:t>i</w:t>
      </w:r>
      <w:r w:rsidRPr="005A73C6">
        <w:t xml:space="preserve"> czasow</w:t>
      </w:r>
      <w:r>
        <w:t>e</w:t>
      </w:r>
      <w:r w:rsidR="002D2ABB">
        <w:t>j</w:t>
      </w:r>
      <w:r w:rsidRPr="005A73C6">
        <w:t xml:space="preserve"> </w:t>
      </w:r>
      <w:r w:rsidR="002D2ABB">
        <w:t>i</w:t>
      </w:r>
      <w:r w:rsidRPr="005A73C6">
        <w:t xml:space="preserve"> stał</w:t>
      </w:r>
      <w:r>
        <w:t>e</w:t>
      </w:r>
      <w:r w:rsidR="002D2ABB">
        <w:t>j</w:t>
      </w:r>
      <w:r w:rsidRPr="005A73C6">
        <w:t xml:space="preserve">, </w:t>
      </w:r>
      <w:r w:rsidR="002D2ABB">
        <w:t>zatem</w:t>
      </w:r>
      <w:r w:rsidRPr="005A73C6">
        <w:t xml:space="preserve"> kandydat na dawcę krwi nie odda krwi lub jej składników jeśli nie spełni wymagań i zostanie czasowo lub stale zdyskwalifikowany.</w:t>
      </w:r>
      <w:r>
        <w:t xml:space="preserve"> </w:t>
      </w:r>
    </w:p>
    <w:p w14:paraId="61EFD730" w14:textId="77777777" w:rsidR="003E04BE" w:rsidRDefault="003E04BE" w:rsidP="003E04BE">
      <w:pPr>
        <w:pStyle w:val="NIEARTTEKSTtekstnieartykuowanynppodstprawnarozplubpreambua"/>
      </w:pPr>
      <w:r w:rsidRPr="003E04BE">
        <w:t xml:space="preserve">W dotychczas obowiązujących przepisach były wskazane szczegółowe warunki dopuszczalności zabiegu uodpornienia w celu uzyskania surowic. Jednak w związku z tym, że nie szczepi się dawców na surowice od kiedy wprowadzono przeciwciała monoklonalne anty-D do badania </w:t>
      </w:r>
      <w:proofErr w:type="spellStart"/>
      <w:r w:rsidRPr="003E04BE">
        <w:t>RhD</w:t>
      </w:r>
      <w:proofErr w:type="spellEnd"/>
      <w:r w:rsidRPr="003E04BE">
        <w:t xml:space="preserve">, dokonana została stosowna korekta. </w:t>
      </w:r>
    </w:p>
    <w:p w14:paraId="491F4299" w14:textId="77777777" w:rsidR="00903570" w:rsidRDefault="001C7DBA">
      <w:pPr>
        <w:pStyle w:val="ARTartustawynprozporzdzenia"/>
        <w:ind w:firstLine="0"/>
      </w:pPr>
      <w:r>
        <w:t>P</w:t>
      </w:r>
      <w:r w:rsidR="005B1623">
        <w:t>rojek</w:t>
      </w:r>
      <w:r>
        <w:t>t</w:t>
      </w:r>
      <w:r w:rsidR="00112366">
        <w:t xml:space="preserve"> </w:t>
      </w:r>
      <w:r w:rsidR="005B1623">
        <w:t xml:space="preserve">rozporządzenia </w:t>
      </w:r>
      <w:r>
        <w:t>posługuje się</w:t>
      </w:r>
      <w:r w:rsidR="00112366">
        <w:t>,</w:t>
      </w:r>
      <w:r w:rsidR="005B1623">
        <w:t xml:space="preserve"> </w:t>
      </w:r>
      <w:r w:rsidR="00977B6C">
        <w:t xml:space="preserve">uwzględniając </w:t>
      </w:r>
      <w:r w:rsidR="00977B6C" w:rsidRPr="00977B6C">
        <w:t>dynamikę procesu chorobowego</w:t>
      </w:r>
      <w:r w:rsidR="00112366">
        <w:t>, pojęciami</w:t>
      </w:r>
      <w:r w:rsidR="00977B6C" w:rsidRPr="00977B6C">
        <w:t xml:space="preserve"> </w:t>
      </w:r>
      <w:r w:rsidR="005B1623">
        <w:t xml:space="preserve">ostrej </w:t>
      </w:r>
      <w:r w:rsidR="00755BDD">
        <w:t>i przewlekłej choroby.</w:t>
      </w:r>
      <w:r w:rsidR="005B1623">
        <w:t xml:space="preserve"> </w:t>
      </w:r>
      <w:r>
        <w:t>Przyjmuje się, że c</w:t>
      </w:r>
      <w:r w:rsidR="005B1623">
        <w:t>horoby ostre trwają</w:t>
      </w:r>
      <w:r>
        <w:t xml:space="preserve"> zwykle</w:t>
      </w:r>
      <w:r w:rsidR="005B1623">
        <w:t xml:space="preserve"> krótko - na ogół do 3 miesięcy</w:t>
      </w:r>
      <w:r>
        <w:t xml:space="preserve"> -</w:t>
      </w:r>
      <w:r w:rsidR="00977B6C">
        <w:t xml:space="preserve"> i </w:t>
      </w:r>
      <w:r w:rsidR="005B1623">
        <w:t xml:space="preserve">w większości </w:t>
      </w:r>
      <w:r w:rsidR="00977B6C">
        <w:t xml:space="preserve">przypadków </w:t>
      </w:r>
      <w:r w:rsidR="005B1623">
        <w:t>są wyleczalne</w:t>
      </w:r>
      <w:r>
        <w:t xml:space="preserve">. Nie stanowią więc </w:t>
      </w:r>
      <w:r w:rsidR="005B1623">
        <w:t>podstawy do st</w:t>
      </w:r>
      <w:r w:rsidR="00977B6C">
        <w:t xml:space="preserve">ałej dyskwalifikacji krwiodawcy </w:t>
      </w:r>
      <w:r w:rsidR="005B1623">
        <w:t>w przeciwieństwie do chorób przewlekłych,</w:t>
      </w:r>
      <w:r>
        <w:t xml:space="preserve"> spowodowanych na ogół nieodwracalnymi zmianami patologicznymi i</w:t>
      </w:r>
      <w:r w:rsidR="005B1623">
        <w:t xml:space="preserve"> stanowiących </w:t>
      </w:r>
      <w:r>
        <w:t xml:space="preserve">przeważnie </w:t>
      </w:r>
      <w:r w:rsidR="00977B6C">
        <w:t>podstawę dyskwalifikacji stałej</w:t>
      </w:r>
      <w:r w:rsidR="005B1623">
        <w:t>.</w:t>
      </w:r>
    </w:p>
    <w:p w14:paraId="4F4AD294" w14:textId="198E6155" w:rsidR="003E04BE" w:rsidRPr="003E04BE" w:rsidRDefault="003E04BE" w:rsidP="003E04BE">
      <w:pPr>
        <w:pStyle w:val="NIEARTTEKSTtekstnieartykuowanynppodstprawnarozplubpreambua"/>
      </w:pPr>
      <w:r w:rsidRPr="003E04BE">
        <w:t>Pon</w:t>
      </w:r>
      <w:r w:rsidR="00112366">
        <w:t xml:space="preserve">adto, zgodnie z 17 wydaniem </w:t>
      </w:r>
      <w:r w:rsidR="00F6027E">
        <w:t>"</w:t>
      </w:r>
      <w:r w:rsidRPr="003E04BE">
        <w:t>Zaleceń w zakresie preparatyki, stosowania i zapewnienia jakości składników krwi</w:t>
      </w:r>
      <w:r w:rsidR="00F6027E">
        <w:t>"</w:t>
      </w:r>
      <w:r w:rsidRPr="003E04BE">
        <w:t xml:space="preserve"> Rady Europy, doprecyzowano przepisy odnoszące się do osób, które ze względu na swoje zachowania</w:t>
      </w:r>
      <w:r w:rsidR="008853A0">
        <w:t>,</w:t>
      </w:r>
      <w:r w:rsidRPr="003E04BE">
        <w:t xml:space="preserve"> czy działalność są szczególnie narażone na </w:t>
      </w:r>
      <w:r w:rsidR="00A503E8" w:rsidRPr="00A503E8">
        <w:t>zakażenie</w:t>
      </w:r>
      <w:r w:rsidR="00A503E8" w:rsidRPr="003E04BE" w:rsidDel="00A503E8">
        <w:t xml:space="preserve"> </w:t>
      </w:r>
      <w:r w:rsidRPr="003E04BE">
        <w:t xml:space="preserve">chorobami przenoszonymi drogą </w:t>
      </w:r>
      <w:r w:rsidR="00A503E8" w:rsidRPr="00A503E8">
        <w:t>przetoczenia krwi</w:t>
      </w:r>
      <w:r w:rsidRPr="003E04BE">
        <w:t>. Jednoznacznie wskazano, iż osoby utrzymujące kontakty seksualne z partnerami, u których testy w kierunku AIDS (HIV) wypadły dodatnio – po zaprzestaniu kontaktów obowiązuje dyskwalifikacja na okres 12 miesięcy.</w:t>
      </w:r>
    </w:p>
    <w:p w14:paraId="047D604B" w14:textId="48FD3B1B" w:rsidR="003E04BE" w:rsidRDefault="003E04BE" w:rsidP="003E04BE">
      <w:pPr>
        <w:pStyle w:val="NIEARTTEKSTtekstnieartykuowanynppodstprawnarozplubpreambua"/>
      </w:pPr>
      <w:r w:rsidRPr="003E04BE">
        <w:lastRenderedPageBreak/>
        <w:t>W projekcie rozporządzenia uwzględniono rekomendację Krajowej Rady d</w:t>
      </w:r>
      <w:r w:rsidR="008853A0">
        <w:t>o Spraw</w:t>
      </w:r>
      <w:r w:rsidRPr="003E04BE">
        <w:t xml:space="preserve"> Krwiodawstwa i Krwiolecznictwa z dnia 20 lutego 2012 </w:t>
      </w:r>
      <w:r w:rsidR="00AC704F" w:rsidRPr="003E04BE">
        <w:t>r</w:t>
      </w:r>
      <w:r w:rsidR="00AC704F">
        <w:t>.</w:t>
      </w:r>
      <w:r w:rsidR="00AC704F" w:rsidRPr="003E04BE">
        <w:t xml:space="preserve"> </w:t>
      </w:r>
      <w:r w:rsidRPr="003E04BE">
        <w:t xml:space="preserve">dotyczącą wprowadzenia czasowej dyskwalifikacji do </w:t>
      </w:r>
      <w:r w:rsidR="00F6027E">
        <w:t>oddania</w:t>
      </w:r>
      <w:r w:rsidR="00F6027E" w:rsidRPr="003E04BE">
        <w:t xml:space="preserve"> </w:t>
      </w:r>
      <w:r w:rsidRPr="003E04BE">
        <w:t xml:space="preserve">krwi i jej składników dla osób przebywających w zakładach poprawczych i schroniskach dla nieletnich z uwagi na zwiększone narażenie na niebezpieczeństwo </w:t>
      </w:r>
      <w:r w:rsidR="00A503E8" w:rsidRPr="00A503E8">
        <w:t>zakażeni</w:t>
      </w:r>
      <w:r w:rsidR="00A503E8">
        <w:t>a</w:t>
      </w:r>
      <w:r w:rsidR="00A503E8" w:rsidRPr="003E04BE" w:rsidDel="00A503E8">
        <w:t xml:space="preserve"> </w:t>
      </w:r>
      <w:r w:rsidRPr="003E04BE">
        <w:t>chorobami przenoszonymi drogą przetoczenia krwi. Osoby przebywające w zakładach poprawczych lub schroniskach dla nieletnich, mogą oddawać krew 6 miesięcy po opuszczeniu placówek penitencjarnych lub po 4 miesiącach</w:t>
      </w:r>
      <w:r w:rsidR="008853A0">
        <w:t>,</w:t>
      </w:r>
      <w:r w:rsidRPr="003E04BE">
        <w:t xml:space="preserve"> jeżeli zostaną wykonane badania kwalifikujące dawcę. Kwestię charakteru prawnego środka poprawczego w postaci umieszczenia nieletniego w zakładzie poprawczym rozstrzygnął Sąd Najwyższy, stojąc na stanowisku, iż umieszczenie nieletniego w zakładzie poprawczym nie jest pozbawieniem wolności w myśl art. 256 </w:t>
      </w:r>
      <w:r w:rsidR="00A8641A">
        <w:t>§</w:t>
      </w:r>
      <w:r w:rsidRPr="003E04BE">
        <w:t xml:space="preserve">1 </w:t>
      </w:r>
      <w:r w:rsidR="00A8641A">
        <w:t>Kodeksu</w:t>
      </w:r>
      <w:r w:rsidR="00E44CC2">
        <w:t xml:space="preserve"> </w:t>
      </w:r>
      <w:r w:rsidR="005C6184">
        <w:t>k</w:t>
      </w:r>
      <w:r w:rsidR="00A8641A">
        <w:t>arnego</w:t>
      </w:r>
      <w:r w:rsidR="005C6184">
        <w:t xml:space="preserve"> (obecnie art. 242 </w:t>
      </w:r>
      <w:r w:rsidR="00A8641A">
        <w:t>§</w:t>
      </w:r>
      <w:r w:rsidR="005C6184">
        <w:t>1 Kodeksu karnego</w:t>
      </w:r>
      <w:r w:rsidRPr="003E04BE">
        <w:t>) – uchwała 7 sędziów Sądu Najwyższego z dnia 18 czerwca 1985, VI KZP</w:t>
      </w:r>
      <w:r w:rsidR="00BD3E11">
        <w:t xml:space="preserve"> </w:t>
      </w:r>
      <w:r w:rsidRPr="003E04BE">
        <w:t xml:space="preserve">8/85 (uchwała mająca moc zasady prawnej). Sąd Najwyższy wyraził również pogląd, iż umieszczenie w zakładzie poprawczym nie jest w istocie karą, skoro nieletniemu nie można przypisać winy. Z powyższego wynika, iż umieszczenie nieletniego w zakładzie poprawczym nie powinno być rozpatrywane w kategoriach kary pozbawienia wolności. Nie ulega jednak wątpliwości, iż umieszczenie nieletniego w zakładzie poprawczym jest środkiem zapobiegania i zwalczania demoralizacji i przestępczości nieletnich o charakterze izolacyjnym. Środek ten stosuje się w celu zapobieżenia dalszej demoralizacji (w wysokim stopniu) nieletniego. Z </w:t>
      </w:r>
      <w:r w:rsidR="00AC704F">
        <w:t>przepisów</w:t>
      </w:r>
      <w:r w:rsidR="00AC704F" w:rsidRPr="003E04BE">
        <w:t xml:space="preserve"> </w:t>
      </w:r>
      <w:r w:rsidRPr="003E04BE">
        <w:t xml:space="preserve">ustawy wynika, iż środki wychowawcze oraz środek poprawczy, stosuje się wobec młodzieży, która narusza zasady współżycia społecznego, używa alkoholu lub innych środków w celu wprowadzenia w stan odurzenia, uprawia nierząd, włóczęgostwo, jest członkiem grup przestępczych, dopuszcza się czynów karalnych. Pomimo tego, iż środek poprawczy nie jest karą pozbawienia wolności, to nie ulega wątpliwości, iż możliwość występowania ryzykownych </w:t>
      </w:r>
      <w:proofErr w:type="spellStart"/>
      <w:r w:rsidRPr="003E04BE">
        <w:t>zachowań</w:t>
      </w:r>
      <w:proofErr w:type="spellEnd"/>
      <w:r w:rsidRPr="003E04BE">
        <w:t xml:space="preserve"> jest taka sama, jak w przypadku osób, które karę pozbawienia wolności odbywają. Taka sama możliwość ryzykownych </w:t>
      </w:r>
      <w:proofErr w:type="spellStart"/>
      <w:r w:rsidRPr="003E04BE">
        <w:t>zachowań</w:t>
      </w:r>
      <w:proofErr w:type="spellEnd"/>
      <w:r w:rsidRPr="003E04BE">
        <w:t xml:space="preserve"> występuje również w wypadku osób aresztowanych. Areszt jest środkiem zapobiegawczym mającym określone cele, a nie karą pozbawienia wolności, ale trudno byłoby się zgodzić z twierdzeniem, iż możliwość występowania ryzykownych </w:t>
      </w:r>
      <w:proofErr w:type="spellStart"/>
      <w:r w:rsidRPr="003E04BE">
        <w:t>zachowań</w:t>
      </w:r>
      <w:proofErr w:type="spellEnd"/>
      <w:r w:rsidRPr="003E04BE">
        <w:t xml:space="preserve"> występuje wyłącznie wśród osób pozbawionych wolności, a już wśród osób aresztowanych nie. Podobnie ma się rzecz w przypadku zastosowania środka poprawczego poprzez umieszczenie w zakładzie poprawczym. </w:t>
      </w:r>
    </w:p>
    <w:p w14:paraId="58E3DFA2" w14:textId="5366BFCC" w:rsidR="00305BF4" w:rsidRDefault="00305BF4" w:rsidP="00305BF4">
      <w:pPr>
        <w:pStyle w:val="ARTartustawynprozporzdzenia"/>
      </w:pPr>
      <w:r>
        <w:t xml:space="preserve">Rozporządzenie wejdzie w życie </w:t>
      </w:r>
      <w:r w:rsidR="007247A8">
        <w:t xml:space="preserve">po upływie 14 dni od dnia ogłoszenia. </w:t>
      </w:r>
    </w:p>
    <w:p w14:paraId="39072125" w14:textId="77777777" w:rsidR="003E04BE" w:rsidRPr="003E04BE" w:rsidRDefault="003E04BE" w:rsidP="003E04BE">
      <w:pPr>
        <w:pStyle w:val="NIEARTTEKSTtekstnieartykuowanynppodstprawnarozplubpreambua"/>
      </w:pPr>
      <w:r w:rsidRPr="003E04BE">
        <w:lastRenderedPageBreak/>
        <w:t>Przedmiot projektowanej regulacji jest zgodny z prawem Unii Europejskiej.</w:t>
      </w:r>
    </w:p>
    <w:p w14:paraId="618F535E" w14:textId="77777777" w:rsidR="008E26A9" w:rsidRPr="008E26A9" w:rsidRDefault="008E26A9" w:rsidP="008E26A9">
      <w:pPr>
        <w:pStyle w:val="NIEARTTEKSTtekstnieartykuowanynppodstprawnarozplubpreambua"/>
      </w:pPr>
      <w:r w:rsidRPr="008E26A9">
        <w:t>Projekt rozporządzenia nie zawiera przepisów technicznych, w związku z czym nie podlega notyfikacji w trybie przewidzianym w przepisach rozporządzenia Rady Ministrów z dnia 23 grudnia 2002 r. w sprawie sposobu funkcjonowania krajowego systemu notyfikacji norm i aktów prawnych (Dz. U. poz. 2039 oraz z 2004 r. poz. 597).</w:t>
      </w:r>
    </w:p>
    <w:p w14:paraId="527E2F90" w14:textId="77777777" w:rsidR="00031C9D" w:rsidRPr="002301AF" w:rsidRDefault="00031C9D" w:rsidP="002301AF">
      <w:pPr>
        <w:pStyle w:val="NIEARTTEKSTtekstnieartykuowanynppodstprawnarozplubpreambua"/>
      </w:pPr>
    </w:p>
    <w:sectPr w:rsidR="00031C9D" w:rsidRPr="002301AF" w:rsidSect="00AC1CBF">
      <w:footnotePr>
        <w:numRestart w:val="eachSect"/>
      </w:footnotePr>
      <w:type w:val="continuous"/>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5370A" w14:textId="77777777" w:rsidR="00812117" w:rsidRDefault="00812117">
      <w:r>
        <w:separator/>
      </w:r>
    </w:p>
  </w:endnote>
  <w:endnote w:type="continuationSeparator" w:id="0">
    <w:p w14:paraId="413260D0" w14:textId="77777777" w:rsidR="00812117" w:rsidRDefault="0081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EBCBB" w14:textId="77777777" w:rsidR="00812117" w:rsidRDefault="00812117">
      <w:r>
        <w:separator/>
      </w:r>
    </w:p>
  </w:footnote>
  <w:footnote w:type="continuationSeparator" w:id="0">
    <w:p w14:paraId="4B8D90A6" w14:textId="77777777" w:rsidR="00812117" w:rsidRDefault="00812117">
      <w:r>
        <w:continuationSeparator/>
      </w:r>
    </w:p>
  </w:footnote>
  <w:footnote w:id="1">
    <w:p w14:paraId="7C20F90F" w14:textId="77777777" w:rsidR="00E56718" w:rsidRDefault="00E56718" w:rsidP="00104331">
      <w:pPr>
        <w:pStyle w:val="ODNONIKtreodnonika"/>
      </w:pPr>
      <w:r>
        <w:rPr>
          <w:rStyle w:val="Odwoanieprzypisudolnego"/>
        </w:rPr>
        <w:t>1)</w:t>
      </w:r>
      <w:r>
        <w:t xml:space="preserve"> </w:t>
      </w:r>
      <w:r>
        <w:tab/>
        <w:t xml:space="preserve">Minister Zdrowia kieruje działem administracji rządowej - zdrowie, na podstawie § 1 ust. 2 rozporządzenia Prezesa Rady Ministrów z dnia 17 listopada 2015 r. w sprawie szczegółowego zakresu działania Ministra Zdrowia (Dz. U. poz. 1908).  </w:t>
      </w:r>
    </w:p>
  </w:footnote>
  <w:footnote w:id="2">
    <w:p w14:paraId="0ED4C364" w14:textId="77777777" w:rsidR="00E56718" w:rsidRPr="0024783E" w:rsidRDefault="00E56718" w:rsidP="00965528">
      <w:pPr>
        <w:pStyle w:val="ODNONIKtreodnonika"/>
      </w:pPr>
      <w:r w:rsidRPr="00A9630F">
        <w:rPr>
          <w:rStyle w:val="IGindeksgrny"/>
        </w:rPr>
        <w:footnoteRef/>
      </w:r>
      <w:r w:rsidRPr="00965528">
        <w:rPr>
          <w:rStyle w:val="IGindeksgrny"/>
        </w:rPr>
        <w:t>)</w:t>
      </w:r>
      <w:r>
        <w:rPr>
          <w:rStyle w:val="IGindeksgrny"/>
        </w:rPr>
        <w:tab/>
      </w:r>
      <w:r w:rsidRPr="0024783E">
        <w:t>Niniejsz</w:t>
      </w:r>
      <w:r>
        <w:t xml:space="preserve">e rozporządzenie </w:t>
      </w:r>
      <w:r w:rsidRPr="0024783E">
        <w:t>w zak</w:t>
      </w:r>
      <w:r>
        <w:t>resie swojej regulacji wdraża</w:t>
      </w:r>
      <w:r w:rsidRPr="0024783E">
        <w:t>:</w:t>
      </w:r>
    </w:p>
    <w:p w14:paraId="13587D24" w14:textId="03C9F17E" w:rsidR="00E56718" w:rsidRPr="0024783E" w:rsidRDefault="00E56718" w:rsidP="00965528">
      <w:pPr>
        <w:pStyle w:val="ODNONIKtreodnonika"/>
      </w:pPr>
      <w:r>
        <w:t>1)</w:t>
      </w:r>
      <w:r>
        <w:tab/>
        <w:t>dyrektywę</w:t>
      </w:r>
      <w:r w:rsidRPr="0024783E">
        <w:t xml:space="preserve"> 2002/98/WE Parlamentu Europejskiego i Rady z dnia 27 stycznia 2003 r. ustanawiając</w:t>
      </w:r>
      <w:r>
        <w:t>ą</w:t>
      </w:r>
      <w:r w:rsidRPr="0024783E">
        <w:t xml:space="preserve"> normy jakości i bezpiecznego pobierania, badania, preparatyki, przechowywania, wydawania krwi ludzkiej i składników krwi oraz zmieniając</w:t>
      </w:r>
      <w:r>
        <w:t>ą</w:t>
      </w:r>
      <w:r w:rsidRPr="0024783E">
        <w:t xml:space="preserve"> dyrektywę 2001/83/WE (Dz. Urz. UE L 33 z 08.02.2003, str. 30,</w:t>
      </w:r>
      <w:r>
        <w:t xml:space="preserve"> Dz. Urz. UE L 230 z 24.08.2006, str. 1</w:t>
      </w:r>
      <w:r w:rsidRPr="00063A2B">
        <w:t>2,</w:t>
      </w:r>
      <w:r>
        <w:t xml:space="preserve"> Dz. Urz. UE L 188 z 18.07.2009, str. 14 oraz</w:t>
      </w:r>
      <w:r w:rsidRPr="00063A2B">
        <w:t xml:space="preserve"> Dz. Urz. UE L 98 z </w:t>
      </w:r>
      <w:r>
        <w:t>15.04.2015</w:t>
      </w:r>
      <w:r w:rsidRPr="00063A2B">
        <w:t>, str</w:t>
      </w:r>
      <w:r>
        <w:t>. 11</w:t>
      </w:r>
      <w:r w:rsidRPr="0024783E">
        <w:t>; Dz. Urz. UE Polskie wydanie specjalne, rozdz. 15, t. 7, str. 346);</w:t>
      </w:r>
    </w:p>
    <w:p w14:paraId="6A131EB8" w14:textId="4612630D" w:rsidR="00E56718" w:rsidRPr="0024783E" w:rsidRDefault="00E56718" w:rsidP="00965528">
      <w:pPr>
        <w:pStyle w:val="ODNONIKtreodnonika"/>
      </w:pPr>
      <w:r>
        <w:t>2)</w:t>
      </w:r>
      <w:r>
        <w:tab/>
        <w:t>dyrektywę</w:t>
      </w:r>
      <w:r w:rsidRPr="0024783E">
        <w:t xml:space="preserve"> Komisji 2004/33/WE z dnia 22 marca 2004 r. wykonując</w:t>
      </w:r>
      <w:r>
        <w:t>ą</w:t>
      </w:r>
      <w:r w:rsidRPr="0024783E">
        <w:t xml:space="preserve"> dyrektywę 2002/98/WE Parlamentu Europejskiego i Rady w zakresie niektórych wymagań technicznych dotyczących krwi i składników krwi (Dz. Urz. UE L 91 z 30.03.2004, str. 2</w:t>
      </w:r>
      <w:r>
        <w:t>5, Dz. Urz. UE L 288 z 04.11.2009, str. 7, Dz. Urz. UE L 97 z 12.04.2011, str. 28 oraz Dz. Urz. UE L 366 z 20.12.2014, str. 81</w:t>
      </w:r>
      <w:r w:rsidRPr="0024783E">
        <w:t>; Dz. Urz. UE Polskie wydanie specjalne, rozdz. 15, t. 8, str. 272);</w:t>
      </w:r>
    </w:p>
    <w:p w14:paraId="79752DDD" w14:textId="4BB58C50" w:rsidR="00E56718" w:rsidRPr="00A9630F" w:rsidRDefault="00E56718">
      <w:pPr>
        <w:rPr>
          <w:rStyle w:val="IGindeksgrny"/>
        </w:rPr>
      </w:pPr>
    </w:p>
  </w:footnote>
  <w:footnote w:id="3">
    <w:p w14:paraId="17FFAC7D" w14:textId="77777777" w:rsidR="00E56718" w:rsidRPr="00AC1CBF" w:rsidRDefault="00E56718" w:rsidP="00112366">
      <w:pPr>
        <w:pStyle w:val="ODNONIKtreodnonika"/>
      </w:pPr>
      <w:r>
        <w:rPr>
          <w:rStyle w:val="Odwoanieprzypisudolnego"/>
        </w:rPr>
        <w:footnoteRef/>
      </w:r>
      <w:r>
        <w:rPr>
          <w:rStyle w:val="IGindeksgrny"/>
        </w:rPr>
        <w:t>)</w:t>
      </w:r>
      <w:r>
        <w:tab/>
      </w:r>
      <w:r w:rsidRPr="000036E6">
        <w:t xml:space="preserve">Niniejsze rozporządzenie było poprzedzone rozporządzeniem </w:t>
      </w:r>
      <w:r>
        <w:t xml:space="preserve">Ministra Zdrowia </w:t>
      </w:r>
      <w:r w:rsidRPr="001117B8">
        <w:t>z dnia 18 kwietnia 2005 r.</w:t>
      </w:r>
      <w:r>
        <w:t xml:space="preserve"> </w:t>
      </w:r>
      <w:r w:rsidRPr="001117B8">
        <w:t>w sprawie warunków pobierania krwi od kandydat</w:t>
      </w:r>
      <w:r>
        <w:t xml:space="preserve">ów na dawców krwi i dawców krwi </w:t>
      </w:r>
      <w:r w:rsidRPr="000036E6">
        <w:t xml:space="preserve">(Dz. U. </w:t>
      </w:r>
      <w:r>
        <w:t>poz</w:t>
      </w:r>
      <w:r w:rsidRPr="000036E6">
        <w:t>.</w:t>
      </w:r>
      <w:r>
        <w:t xml:space="preserve"> 691, z </w:t>
      </w:r>
      <w:proofErr w:type="spellStart"/>
      <w:r>
        <w:t>późn</w:t>
      </w:r>
      <w:proofErr w:type="spellEnd"/>
      <w:r>
        <w:t>. zm.</w:t>
      </w:r>
      <w:r w:rsidRPr="000036E6">
        <w:t>), które utraci moc z d</w:t>
      </w:r>
      <w:r>
        <w:t>niem wejścia w życie niniejsze</w:t>
      </w:r>
      <w:r w:rsidRPr="000036E6">
        <w:t xml:space="preserve">go rozporządzenia zgodnie z art. </w:t>
      </w:r>
      <w:r>
        <w:t>15 ust. 1</w:t>
      </w:r>
      <w:r w:rsidRPr="000036E6">
        <w:t xml:space="preserve"> ustawy </w:t>
      </w:r>
      <w:r>
        <w:t xml:space="preserve">z dnia 20 maja 2016 r. </w:t>
      </w:r>
      <w:r w:rsidRPr="001D65FE">
        <w:t>o</w:t>
      </w:r>
      <w:r>
        <w:t xml:space="preserve"> </w:t>
      </w:r>
      <w:r w:rsidRPr="00D20885">
        <w:t xml:space="preserve">zmianie ustawy o publicznej służbie krwi oraz niektórych innych ustaw </w:t>
      </w:r>
      <w:r w:rsidRPr="000036E6">
        <w:t xml:space="preserve">(Dz. U. </w:t>
      </w:r>
      <w:r>
        <w:t>poz. 823</w:t>
      </w:r>
      <w:r w:rsidRPr="000036E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81A6F" w14:textId="77777777" w:rsidR="00E56718" w:rsidRPr="00B371CC" w:rsidRDefault="00E56718" w:rsidP="00B371CC">
    <w:pPr>
      <w:pStyle w:val="Nagwek"/>
      <w:jc w:val="center"/>
    </w:pPr>
    <w:r>
      <w:t xml:space="preserve">– </w:t>
    </w:r>
    <w:r>
      <w:fldChar w:fldCharType="begin"/>
    </w:r>
    <w:r>
      <w:instrText xml:space="preserve"> PAGE  \* MERGEFORMAT </w:instrText>
    </w:r>
    <w:r>
      <w:fldChar w:fldCharType="separate"/>
    </w:r>
    <w:r w:rsidR="003D5136">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2982501"/>
    <w:multiLevelType w:val="hybridMultilevel"/>
    <w:tmpl w:val="9E1291BC"/>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2">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5">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6">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DC34850"/>
    <w:multiLevelType w:val="hybridMultilevel"/>
    <w:tmpl w:val="E0687B4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4"/>
  </w:num>
  <w:num w:numId="3">
    <w:abstractNumId w:val="19"/>
  </w:num>
  <w:num w:numId="4">
    <w:abstractNumId w:val="19"/>
  </w:num>
  <w:num w:numId="5">
    <w:abstractNumId w:val="37"/>
  </w:num>
  <w:num w:numId="6">
    <w:abstractNumId w:val="33"/>
  </w:num>
  <w:num w:numId="7">
    <w:abstractNumId w:val="37"/>
  </w:num>
  <w:num w:numId="8">
    <w:abstractNumId w:val="33"/>
  </w:num>
  <w:num w:numId="9">
    <w:abstractNumId w:val="37"/>
  </w:num>
  <w:num w:numId="10">
    <w:abstractNumId w:val="33"/>
  </w:num>
  <w:num w:numId="11">
    <w:abstractNumId w:val="15"/>
  </w:num>
  <w:num w:numId="12">
    <w:abstractNumId w:val="11"/>
  </w:num>
  <w:num w:numId="13">
    <w:abstractNumId w:val="16"/>
  </w:num>
  <w:num w:numId="14">
    <w:abstractNumId w:val="27"/>
  </w:num>
  <w:num w:numId="15">
    <w:abstractNumId w:val="15"/>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6"/>
  </w:num>
  <w:num w:numId="29">
    <w:abstractNumId w:val="38"/>
  </w:num>
  <w:num w:numId="30">
    <w:abstractNumId w:val="34"/>
  </w:num>
  <w:num w:numId="31">
    <w:abstractNumId w:val="20"/>
  </w:num>
  <w:num w:numId="32">
    <w:abstractNumId w:val="12"/>
  </w:num>
  <w:num w:numId="33">
    <w:abstractNumId w:val="31"/>
  </w:num>
  <w:num w:numId="34">
    <w:abstractNumId w:val="21"/>
  </w:num>
  <w:num w:numId="35">
    <w:abstractNumId w:val="18"/>
  </w:num>
  <w:num w:numId="36">
    <w:abstractNumId w:val="23"/>
  </w:num>
  <w:num w:numId="37">
    <w:abstractNumId w:val="28"/>
  </w:num>
  <w:num w:numId="38">
    <w:abstractNumId w:val="25"/>
  </w:num>
  <w:num w:numId="39">
    <w:abstractNumId w:val="14"/>
  </w:num>
  <w:num w:numId="40">
    <w:abstractNumId w:val="30"/>
  </w:num>
  <w:num w:numId="41">
    <w:abstractNumId w:val="29"/>
  </w:num>
  <w:num w:numId="42">
    <w:abstractNumId w:val="22"/>
  </w:num>
  <w:num w:numId="43">
    <w:abstractNumId w:val="36"/>
  </w:num>
  <w:num w:numId="44">
    <w:abstractNumId w:val="13"/>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C6"/>
    <w:rsid w:val="00000308"/>
    <w:rsid w:val="000012DA"/>
    <w:rsid w:val="0000246E"/>
    <w:rsid w:val="00003862"/>
    <w:rsid w:val="000049D0"/>
    <w:rsid w:val="00012A35"/>
    <w:rsid w:val="00016099"/>
    <w:rsid w:val="00017DC2"/>
    <w:rsid w:val="00021522"/>
    <w:rsid w:val="00023471"/>
    <w:rsid w:val="00023F13"/>
    <w:rsid w:val="00026260"/>
    <w:rsid w:val="00030634"/>
    <w:rsid w:val="00031813"/>
    <w:rsid w:val="000319C1"/>
    <w:rsid w:val="00031A8B"/>
    <w:rsid w:val="00031BCA"/>
    <w:rsid w:val="00031C9D"/>
    <w:rsid w:val="000330FA"/>
    <w:rsid w:val="0003362F"/>
    <w:rsid w:val="00036B63"/>
    <w:rsid w:val="00037E1A"/>
    <w:rsid w:val="000406CC"/>
    <w:rsid w:val="00043495"/>
    <w:rsid w:val="00046A75"/>
    <w:rsid w:val="00047312"/>
    <w:rsid w:val="000508BD"/>
    <w:rsid w:val="000517AB"/>
    <w:rsid w:val="00052F1A"/>
    <w:rsid w:val="0005339C"/>
    <w:rsid w:val="0005571B"/>
    <w:rsid w:val="00057AB3"/>
    <w:rsid w:val="0006006F"/>
    <w:rsid w:val="00060076"/>
    <w:rsid w:val="00060432"/>
    <w:rsid w:val="00060D87"/>
    <w:rsid w:val="000615A5"/>
    <w:rsid w:val="000636A9"/>
    <w:rsid w:val="00064E4C"/>
    <w:rsid w:val="00066901"/>
    <w:rsid w:val="00071BEE"/>
    <w:rsid w:val="000736CD"/>
    <w:rsid w:val="0007533B"/>
    <w:rsid w:val="0007545D"/>
    <w:rsid w:val="000760BF"/>
    <w:rsid w:val="0007613E"/>
    <w:rsid w:val="00076BFC"/>
    <w:rsid w:val="000814A7"/>
    <w:rsid w:val="0008158B"/>
    <w:rsid w:val="000815DA"/>
    <w:rsid w:val="00083715"/>
    <w:rsid w:val="0008557B"/>
    <w:rsid w:val="00085CE7"/>
    <w:rsid w:val="0008669D"/>
    <w:rsid w:val="000906EE"/>
    <w:rsid w:val="00091BA2"/>
    <w:rsid w:val="000944EF"/>
    <w:rsid w:val="00096A87"/>
    <w:rsid w:val="0009732D"/>
    <w:rsid w:val="000973F0"/>
    <w:rsid w:val="000A122C"/>
    <w:rsid w:val="000A1296"/>
    <w:rsid w:val="000A1C27"/>
    <w:rsid w:val="000A1DAD"/>
    <w:rsid w:val="000A2649"/>
    <w:rsid w:val="000A323B"/>
    <w:rsid w:val="000A4FFB"/>
    <w:rsid w:val="000B298D"/>
    <w:rsid w:val="000B5B2D"/>
    <w:rsid w:val="000B5DCE"/>
    <w:rsid w:val="000B7612"/>
    <w:rsid w:val="000C05BA"/>
    <w:rsid w:val="000C0E8F"/>
    <w:rsid w:val="000C180F"/>
    <w:rsid w:val="000C4BC4"/>
    <w:rsid w:val="000C6FE9"/>
    <w:rsid w:val="000D0110"/>
    <w:rsid w:val="000D2468"/>
    <w:rsid w:val="000D318A"/>
    <w:rsid w:val="000D6173"/>
    <w:rsid w:val="000D6F83"/>
    <w:rsid w:val="000E21A6"/>
    <w:rsid w:val="000E25CC"/>
    <w:rsid w:val="000E3694"/>
    <w:rsid w:val="000E490F"/>
    <w:rsid w:val="000E6241"/>
    <w:rsid w:val="000F00A4"/>
    <w:rsid w:val="000F131F"/>
    <w:rsid w:val="000F2696"/>
    <w:rsid w:val="000F2BE3"/>
    <w:rsid w:val="000F3D0D"/>
    <w:rsid w:val="000F6ED4"/>
    <w:rsid w:val="000F6F01"/>
    <w:rsid w:val="000F7A6E"/>
    <w:rsid w:val="00101189"/>
    <w:rsid w:val="001042BA"/>
    <w:rsid w:val="00104331"/>
    <w:rsid w:val="00105C5C"/>
    <w:rsid w:val="00106D03"/>
    <w:rsid w:val="00110465"/>
    <w:rsid w:val="00110628"/>
    <w:rsid w:val="001117B8"/>
    <w:rsid w:val="00112366"/>
    <w:rsid w:val="0011245A"/>
    <w:rsid w:val="0011493E"/>
    <w:rsid w:val="00115B72"/>
    <w:rsid w:val="001209EC"/>
    <w:rsid w:val="00120A9E"/>
    <w:rsid w:val="00125A9C"/>
    <w:rsid w:val="00126219"/>
    <w:rsid w:val="00126805"/>
    <w:rsid w:val="00126B5D"/>
    <w:rsid w:val="001270A2"/>
    <w:rsid w:val="00131237"/>
    <w:rsid w:val="001321B6"/>
    <w:rsid w:val="001329AC"/>
    <w:rsid w:val="00134CA0"/>
    <w:rsid w:val="0014026F"/>
    <w:rsid w:val="00147A47"/>
    <w:rsid w:val="00147AA1"/>
    <w:rsid w:val="001520CF"/>
    <w:rsid w:val="0015667C"/>
    <w:rsid w:val="00157110"/>
    <w:rsid w:val="0015742A"/>
    <w:rsid w:val="00157ACF"/>
    <w:rsid w:val="00157DA1"/>
    <w:rsid w:val="00163147"/>
    <w:rsid w:val="00164C57"/>
    <w:rsid w:val="00164C9D"/>
    <w:rsid w:val="00166E4C"/>
    <w:rsid w:val="00170A08"/>
    <w:rsid w:val="00172F7A"/>
    <w:rsid w:val="00173150"/>
    <w:rsid w:val="00173390"/>
    <w:rsid w:val="001736F0"/>
    <w:rsid w:val="00173BB3"/>
    <w:rsid w:val="001740D0"/>
    <w:rsid w:val="00174F2C"/>
    <w:rsid w:val="00180F2A"/>
    <w:rsid w:val="00182991"/>
    <w:rsid w:val="00184079"/>
    <w:rsid w:val="00184B91"/>
    <w:rsid w:val="00184D4A"/>
    <w:rsid w:val="00186EC1"/>
    <w:rsid w:val="00190F3D"/>
    <w:rsid w:val="00191E1F"/>
    <w:rsid w:val="001923BC"/>
    <w:rsid w:val="0019473B"/>
    <w:rsid w:val="001952B1"/>
    <w:rsid w:val="00196E39"/>
    <w:rsid w:val="00197649"/>
    <w:rsid w:val="001A01FB"/>
    <w:rsid w:val="001A0B32"/>
    <w:rsid w:val="001A10E9"/>
    <w:rsid w:val="001A183D"/>
    <w:rsid w:val="001A2B65"/>
    <w:rsid w:val="001A3CD3"/>
    <w:rsid w:val="001A5BEF"/>
    <w:rsid w:val="001A5D2D"/>
    <w:rsid w:val="001A7C94"/>
    <w:rsid w:val="001A7F15"/>
    <w:rsid w:val="001B342E"/>
    <w:rsid w:val="001C11DC"/>
    <w:rsid w:val="001C1832"/>
    <w:rsid w:val="001C188C"/>
    <w:rsid w:val="001C6F46"/>
    <w:rsid w:val="001C6F67"/>
    <w:rsid w:val="001C7606"/>
    <w:rsid w:val="001C7DBA"/>
    <w:rsid w:val="001D0E34"/>
    <w:rsid w:val="001D1783"/>
    <w:rsid w:val="001D2264"/>
    <w:rsid w:val="001D2564"/>
    <w:rsid w:val="001D38A1"/>
    <w:rsid w:val="001D53CD"/>
    <w:rsid w:val="001D55A3"/>
    <w:rsid w:val="001D5AF5"/>
    <w:rsid w:val="001E0508"/>
    <w:rsid w:val="001E1E73"/>
    <w:rsid w:val="001E388F"/>
    <w:rsid w:val="001E450C"/>
    <w:rsid w:val="001E4E0C"/>
    <w:rsid w:val="001E526D"/>
    <w:rsid w:val="001E5655"/>
    <w:rsid w:val="001F0704"/>
    <w:rsid w:val="001F1832"/>
    <w:rsid w:val="001F220F"/>
    <w:rsid w:val="001F25B3"/>
    <w:rsid w:val="001F4B38"/>
    <w:rsid w:val="001F5AD3"/>
    <w:rsid w:val="001F6616"/>
    <w:rsid w:val="00201B46"/>
    <w:rsid w:val="002027B8"/>
    <w:rsid w:val="00202BD4"/>
    <w:rsid w:val="00202D0D"/>
    <w:rsid w:val="00204A97"/>
    <w:rsid w:val="002114EF"/>
    <w:rsid w:val="002166AD"/>
    <w:rsid w:val="00217871"/>
    <w:rsid w:val="00220C59"/>
    <w:rsid w:val="00221ED8"/>
    <w:rsid w:val="002231EA"/>
    <w:rsid w:val="00223FDF"/>
    <w:rsid w:val="002279C0"/>
    <w:rsid w:val="002301AF"/>
    <w:rsid w:val="00231DD4"/>
    <w:rsid w:val="00234CF2"/>
    <w:rsid w:val="0023727E"/>
    <w:rsid w:val="00242081"/>
    <w:rsid w:val="00243777"/>
    <w:rsid w:val="002441CD"/>
    <w:rsid w:val="002501A3"/>
    <w:rsid w:val="0025166C"/>
    <w:rsid w:val="002555D4"/>
    <w:rsid w:val="00257817"/>
    <w:rsid w:val="00257E7C"/>
    <w:rsid w:val="00261A16"/>
    <w:rsid w:val="00263522"/>
    <w:rsid w:val="002641FC"/>
    <w:rsid w:val="00264AE1"/>
    <w:rsid w:val="00264EC6"/>
    <w:rsid w:val="00271013"/>
    <w:rsid w:val="00273FE4"/>
    <w:rsid w:val="00275CB7"/>
    <w:rsid w:val="002765B4"/>
    <w:rsid w:val="00276A94"/>
    <w:rsid w:val="00283385"/>
    <w:rsid w:val="00286C43"/>
    <w:rsid w:val="00287C49"/>
    <w:rsid w:val="0029405D"/>
    <w:rsid w:val="00294FA6"/>
    <w:rsid w:val="00295A6F"/>
    <w:rsid w:val="002A1B1B"/>
    <w:rsid w:val="002A1FE2"/>
    <w:rsid w:val="002A20C4"/>
    <w:rsid w:val="002A570F"/>
    <w:rsid w:val="002A7292"/>
    <w:rsid w:val="002A7358"/>
    <w:rsid w:val="002A7902"/>
    <w:rsid w:val="002B0029"/>
    <w:rsid w:val="002B0F6B"/>
    <w:rsid w:val="002B1A54"/>
    <w:rsid w:val="002B23B8"/>
    <w:rsid w:val="002B4429"/>
    <w:rsid w:val="002B68A6"/>
    <w:rsid w:val="002B7FAF"/>
    <w:rsid w:val="002C77D8"/>
    <w:rsid w:val="002D0C4F"/>
    <w:rsid w:val="002D1364"/>
    <w:rsid w:val="002D15EE"/>
    <w:rsid w:val="002D2ABB"/>
    <w:rsid w:val="002D4D30"/>
    <w:rsid w:val="002D4F6D"/>
    <w:rsid w:val="002D5000"/>
    <w:rsid w:val="002D51F6"/>
    <w:rsid w:val="002D53EE"/>
    <w:rsid w:val="002D598D"/>
    <w:rsid w:val="002D7188"/>
    <w:rsid w:val="002E1B00"/>
    <w:rsid w:val="002E1DE3"/>
    <w:rsid w:val="002E2AB6"/>
    <w:rsid w:val="002E3F34"/>
    <w:rsid w:val="002E5F79"/>
    <w:rsid w:val="002E64FA"/>
    <w:rsid w:val="002F0A00"/>
    <w:rsid w:val="002F0CFA"/>
    <w:rsid w:val="002F669F"/>
    <w:rsid w:val="00301C97"/>
    <w:rsid w:val="00305BF4"/>
    <w:rsid w:val="0031004C"/>
    <w:rsid w:val="003105F6"/>
    <w:rsid w:val="00311297"/>
    <w:rsid w:val="003113BE"/>
    <w:rsid w:val="003122CA"/>
    <w:rsid w:val="003148FD"/>
    <w:rsid w:val="00321080"/>
    <w:rsid w:val="0032111C"/>
    <w:rsid w:val="00322982"/>
    <w:rsid w:val="00322D45"/>
    <w:rsid w:val="0032515A"/>
    <w:rsid w:val="00325194"/>
    <w:rsid w:val="0032569A"/>
    <w:rsid w:val="00325A1F"/>
    <w:rsid w:val="003268F9"/>
    <w:rsid w:val="00330BAF"/>
    <w:rsid w:val="00330F85"/>
    <w:rsid w:val="00332211"/>
    <w:rsid w:val="00334E3A"/>
    <w:rsid w:val="003361DD"/>
    <w:rsid w:val="003402AF"/>
    <w:rsid w:val="00341A6A"/>
    <w:rsid w:val="00341B96"/>
    <w:rsid w:val="00342FF8"/>
    <w:rsid w:val="003448BE"/>
    <w:rsid w:val="003454D3"/>
    <w:rsid w:val="003454EF"/>
    <w:rsid w:val="0034557D"/>
    <w:rsid w:val="0034585C"/>
    <w:rsid w:val="00345B9C"/>
    <w:rsid w:val="00346419"/>
    <w:rsid w:val="00352DAE"/>
    <w:rsid w:val="00354EB9"/>
    <w:rsid w:val="00356710"/>
    <w:rsid w:val="003602AE"/>
    <w:rsid w:val="00360929"/>
    <w:rsid w:val="003647D5"/>
    <w:rsid w:val="00364B4A"/>
    <w:rsid w:val="00365384"/>
    <w:rsid w:val="00365BC8"/>
    <w:rsid w:val="003674B0"/>
    <w:rsid w:val="00374322"/>
    <w:rsid w:val="0037727C"/>
    <w:rsid w:val="00377E70"/>
    <w:rsid w:val="00380904"/>
    <w:rsid w:val="003823EE"/>
    <w:rsid w:val="00382960"/>
    <w:rsid w:val="00382C99"/>
    <w:rsid w:val="003846F7"/>
    <w:rsid w:val="003851ED"/>
    <w:rsid w:val="00385B39"/>
    <w:rsid w:val="003866EA"/>
    <w:rsid w:val="00386785"/>
    <w:rsid w:val="003875C7"/>
    <w:rsid w:val="003905A3"/>
    <w:rsid w:val="00390E89"/>
    <w:rsid w:val="00391B1A"/>
    <w:rsid w:val="00393C4F"/>
    <w:rsid w:val="00393D21"/>
    <w:rsid w:val="00394423"/>
    <w:rsid w:val="00396942"/>
    <w:rsid w:val="00396B49"/>
    <w:rsid w:val="00396E3E"/>
    <w:rsid w:val="003A006E"/>
    <w:rsid w:val="003A306E"/>
    <w:rsid w:val="003A60DC"/>
    <w:rsid w:val="003A6A46"/>
    <w:rsid w:val="003A7A63"/>
    <w:rsid w:val="003B000C"/>
    <w:rsid w:val="003B0F1D"/>
    <w:rsid w:val="003B173E"/>
    <w:rsid w:val="003B4A57"/>
    <w:rsid w:val="003B533E"/>
    <w:rsid w:val="003B5647"/>
    <w:rsid w:val="003C0736"/>
    <w:rsid w:val="003C0AD9"/>
    <w:rsid w:val="003C0ED0"/>
    <w:rsid w:val="003C1D49"/>
    <w:rsid w:val="003C2E79"/>
    <w:rsid w:val="003C35C4"/>
    <w:rsid w:val="003C379F"/>
    <w:rsid w:val="003D12C2"/>
    <w:rsid w:val="003D31B9"/>
    <w:rsid w:val="003D3867"/>
    <w:rsid w:val="003D4149"/>
    <w:rsid w:val="003D50F3"/>
    <w:rsid w:val="003D5136"/>
    <w:rsid w:val="003D763A"/>
    <w:rsid w:val="003E04BE"/>
    <w:rsid w:val="003E0D1A"/>
    <w:rsid w:val="003E2DA3"/>
    <w:rsid w:val="003E32DA"/>
    <w:rsid w:val="003E531E"/>
    <w:rsid w:val="003F020D"/>
    <w:rsid w:val="003F03D9"/>
    <w:rsid w:val="003F043F"/>
    <w:rsid w:val="003F0D5E"/>
    <w:rsid w:val="003F0FA8"/>
    <w:rsid w:val="003F2FBE"/>
    <w:rsid w:val="003F318D"/>
    <w:rsid w:val="003F3D71"/>
    <w:rsid w:val="003F5BAE"/>
    <w:rsid w:val="003F5C3D"/>
    <w:rsid w:val="003F6ED7"/>
    <w:rsid w:val="00401C84"/>
    <w:rsid w:val="00403210"/>
    <w:rsid w:val="004035BB"/>
    <w:rsid w:val="004035EB"/>
    <w:rsid w:val="00407332"/>
    <w:rsid w:val="00407828"/>
    <w:rsid w:val="00407C02"/>
    <w:rsid w:val="004112D3"/>
    <w:rsid w:val="00411DC8"/>
    <w:rsid w:val="00413D8E"/>
    <w:rsid w:val="004140F2"/>
    <w:rsid w:val="004143F8"/>
    <w:rsid w:val="00415D9D"/>
    <w:rsid w:val="00417B22"/>
    <w:rsid w:val="00420C0F"/>
    <w:rsid w:val="00421085"/>
    <w:rsid w:val="0042465E"/>
    <w:rsid w:val="00424DF7"/>
    <w:rsid w:val="00432B76"/>
    <w:rsid w:val="00433A4E"/>
    <w:rsid w:val="00434D01"/>
    <w:rsid w:val="00435D26"/>
    <w:rsid w:val="0043782C"/>
    <w:rsid w:val="00440C99"/>
    <w:rsid w:val="0044175C"/>
    <w:rsid w:val="00441A01"/>
    <w:rsid w:val="00441E2E"/>
    <w:rsid w:val="00445F4D"/>
    <w:rsid w:val="004504C0"/>
    <w:rsid w:val="00450989"/>
    <w:rsid w:val="004550FB"/>
    <w:rsid w:val="0046111A"/>
    <w:rsid w:val="004620C3"/>
    <w:rsid w:val="00462946"/>
    <w:rsid w:val="00463F43"/>
    <w:rsid w:val="00464B94"/>
    <w:rsid w:val="004653A8"/>
    <w:rsid w:val="00465A0B"/>
    <w:rsid w:val="0047077C"/>
    <w:rsid w:val="00470B05"/>
    <w:rsid w:val="0047207C"/>
    <w:rsid w:val="00472CD6"/>
    <w:rsid w:val="00474E3C"/>
    <w:rsid w:val="00480A58"/>
    <w:rsid w:val="00481C9C"/>
    <w:rsid w:val="00482151"/>
    <w:rsid w:val="004842DA"/>
    <w:rsid w:val="00485FAD"/>
    <w:rsid w:val="00487AED"/>
    <w:rsid w:val="00491EDF"/>
    <w:rsid w:val="00492200"/>
    <w:rsid w:val="004922E7"/>
    <w:rsid w:val="00492A3F"/>
    <w:rsid w:val="00494F62"/>
    <w:rsid w:val="004A2001"/>
    <w:rsid w:val="004A3590"/>
    <w:rsid w:val="004B00A7"/>
    <w:rsid w:val="004B25E2"/>
    <w:rsid w:val="004B34D7"/>
    <w:rsid w:val="004B454C"/>
    <w:rsid w:val="004B4594"/>
    <w:rsid w:val="004B5037"/>
    <w:rsid w:val="004B5B2F"/>
    <w:rsid w:val="004B626A"/>
    <w:rsid w:val="004B660E"/>
    <w:rsid w:val="004C05BD"/>
    <w:rsid w:val="004C111F"/>
    <w:rsid w:val="004C2E24"/>
    <w:rsid w:val="004C3B06"/>
    <w:rsid w:val="004C3F97"/>
    <w:rsid w:val="004C7EE7"/>
    <w:rsid w:val="004D0715"/>
    <w:rsid w:val="004D2DEE"/>
    <w:rsid w:val="004D2E1F"/>
    <w:rsid w:val="004D7FD9"/>
    <w:rsid w:val="004E0C47"/>
    <w:rsid w:val="004E1324"/>
    <w:rsid w:val="004E19A5"/>
    <w:rsid w:val="004E37E5"/>
    <w:rsid w:val="004E3FDB"/>
    <w:rsid w:val="004E70B4"/>
    <w:rsid w:val="004F09CB"/>
    <w:rsid w:val="004F1F4A"/>
    <w:rsid w:val="004F296D"/>
    <w:rsid w:val="004F508B"/>
    <w:rsid w:val="004F695F"/>
    <w:rsid w:val="004F6CA4"/>
    <w:rsid w:val="004F72AB"/>
    <w:rsid w:val="004F77BC"/>
    <w:rsid w:val="00500315"/>
    <w:rsid w:val="00500752"/>
    <w:rsid w:val="00501A50"/>
    <w:rsid w:val="0050222D"/>
    <w:rsid w:val="00503AF3"/>
    <w:rsid w:val="0050696D"/>
    <w:rsid w:val="0051094B"/>
    <w:rsid w:val="005110D7"/>
    <w:rsid w:val="00511D99"/>
    <w:rsid w:val="005128D3"/>
    <w:rsid w:val="00513ED2"/>
    <w:rsid w:val="005147E8"/>
    <w:rsid w:val="005158F2"/>
    <w:rsid w:val="00516D36"/>
    <w:rsid w:val="00526DFC"/>
    <w:rsid w:val="00526F43"/>
    <w:rsid w:val="00527651"/>
    <w:rsid w:val="00527689"/>
    <w:rsid w:val="005321EC"/>
    <w:rsid w:val="0053417B"/>
    <w:rsid w:val="005363AB"/>
    <w:rsid w:val="00544EF4"/>
    <w:rsid w:val="00545E53"/>
    <w:rsid w:val="005479D9"/>
    <w:rsid w:val="00552038"/>
    <w:rsid w:val="005572BD"/>
    <w:rsid w:val="00557A12"/>
    <w:rsid w:val="00560AC7"/>
    <w:rsid w:val="00561294"/>
    <w:rsid w:val="00561AFB"/>
    <w:rsid w:val="00561FA8"/>
    <w:rsid w:val="00562DF1"/>
    <w:rsid w:val="005635ED"/>
    <w:rsid w:val="00565253"/>
    <w:rsid w:val="00570191"/>
    <w:rsid w:val="0057054C"/>
    <w:rsid w:val="00570570"/>
    <w:rsid w:val="00572512"/>
    <w:rsid w:val="00573561"/>
    <w:rsid w:val="00573CC6"/>
    <w:rsid w:val="00573EE6"/>
    <w:rsid w:val="0057547F"/>
    <w:rsid w:val="005754EE"/>
    <w:rsid w:val="0057617E"/>
    <w:rsid w:val="00576497"/>
    <w:rsid w:val="005835E7"/>
    <w:rsid w:val="0058397F"/>
    <w:rsid w:val="00583BF8"/>
    <w:rsid w:val="00585F33"/>
    <w:rsid w:val="00586F67"/>
    <w:rsid w:val="00591124"/>
    <w:rsid w:val="0059544C"/>
    <w:rsid w:val="00596634"/>
    <w:rsid w:val="00597024"/>
    <w:rsid w:val="005A0274"/>
    <w:rsid w:val="005A095C"/>
    <w:rsid w:val="005A1833"/>
    <w:rsid w:val="005A4B4B"/>
    <w:rsid w:val="005A669D"/>
    <w:rsid w:val="005A73C6"/>
    <w:rsid w:val="005A75D8"/>
    <w:rsid w:val="005B1623"/>
    <w:rsid w:val="005B713E"/>
    <w:rsid w:val="005B732A"/>
    <w:rsid w:val="005C03B6"/>
    <w:rsid w:val="005C203D"/>
    <w:rsid w:val="005C20ED"/>
    <w:rsid w:val="005C348E"/>
    <w:rsid w:val="005C6184"/>
    <w:rsid w:val="005C68E1"/>
    <w:rsid w:val="005D16F6"/>
    <w:rsid w:val="005D3763"/>
    <w:rsid w:val="005D55E1"/>
    <w:rsid w:val="005D6653"/>
    <w:rsid w:val="005E19F7"/>
    <w:rsid w:val="005E3226"/>
    <w:rsid w:val="005E4EF1"/>
    <w:rsid w:val="005E4F04"/>
    <w:rsid w:val="005E544B"/>
    <w:rsid w:val="005E62C2"/>
    <w:rsid w:val="005E6C71"/>
    <w:rsid w:val="005E6CFD"/>
    <w:rsid w:val="005E7DDE"/>
    <w:rsid w:val="005F0963"/>
    <w:rsid w:val="005F2824"/>
    <w:rsid w:val="005F2EBA"/>
    <w:rsid w:val="005F35ED"/>
    <w:rsid w:val="005F3D25"/>
    <w:rsid w:val="005F7812"/>
    <w:rsid w:val="005F7A88"/>
    <w:rsid w:val="006027DC"/>
    <w:rsid w:val="00603A1A"/>
    <w:rsid w:val="006046D5"/>
    <w:rsid w:val="00605992"/>
    <w:rsid w:val="006062C8"/>
    <w:rsid w:val="0060786F"/>
    <w:rsid w:val="00607A93"/>
    <w:rsid w:val="00610C08"/>
    <w:rsid w:val="00611F74"/>
    <w:rsid w:val="00615772"/>
    <w:rsid w:val="00621256"/>
    <w:rsid w:val="00621EEF"/>
    <w:rsid w:val="00621FCC"/>
    <w:rsid w:val="00622E4B"/>
    <w:rsid w:val="00624765"/>
    <w:rsid w:val="006308E0"/>
    <w:rsid w:val="006333DA"/>
    <w:rsid w:val="00635134"/>
    <w:rsid w:val="006356E2"/>
    <w:rsid w:val="00642A65"/>
    <w:rsid w:val="00644B94"/>
    <w:rsid w:val="00645DCE"/>
    <w:rsid w:val="006465AC"/>
    <w:rsid w:val="006465BF"/>
    <w:rsid w:val="00647853"/>
    <w:rsid w:val="006525E7"/>
    <w:rsid w:val="00653B22"/>
    <w:rsid w:val="0065602A"/>
    <w:rsid w:val="006561EF"/>
    <w:rsid w:val="00656CE4"/>
    <w:rsid w:val="00657BF4"/>
    <w:rsid w:val="006603FB"/>
    <w:rsid w:val="006608DF"/>
    <w:rsid w:val="006623AC"/>
    <w:rsid w:val="006678AF"/>
    <w:rsid w:val="006701EF"/>
    <w:rsid w:val="00672F99"/>
    <w:rsid w:val="00673BA5"/>
    <w:rsid w:val="00677D7C"/>
    <w:rsid w:val="00680058"/>
    <w:rsid w:val="00681F9F"/>
    <w:rsid w:val="0068407C"/>
    <w:rsid w:val="006840EA"/>
    <w:rsid w:val="006844E2"/>
    <w:rsid w:val="00685267"/>
    <w:rsid w:val="006872AE"/>
    <w:rsid w:val="00690082"/>
    <w:rsid w:val="00690252"/>
    <w:rsid w:val="006946BB"/>
    <w:rsid w:val="006969FA"/>
    <w:rsid w:val="006A13F8"/>
    <w:rsid w:val="006A16D5"/>
    <w:rsid w:val="006A35D5"/>
    <w:rsid w:val="006A748A"/>
    <w:rsid w:val="006B1E8A"/>
    <w:rsid w:val="006B21C9"/>
    <w:rsid w:val="006C0E0C"/>
    <w:rsid w:val="006C419E"/>
    <w:rsid w:val="006C4A31"/>
    <w:rsid w:val="006C5AC2"/>
    <w:rsid w:val="006C6AFB"/>
    <w:rsid w:val="006C73CB"/>
    <w:rsid w:val="006D2735"/>
    <w:rsid w:val="006D31E0"/>
    <w:rsid w:val="006D3602"/>
    <w:rsid w:val="006D45B2"/>
    <w:rsid w:val="006D74CC"/>
    <w:rsid w:val="006E0FCC"/>
    <w:rsid w:val="006E1E96"/>
    <w:rsid w:val="006E5E21"/>
    <w:rsid w:val="006F05E0"/>
    <w:rsid w:val="006F1756"/>
    <w:rsid w:val="006F2648"/>
    <w:rsid w:val="006F2F10"/>
    <w:rsid w:val="006F36B9"/>
    <w:rsid w:val="006F482B"/>
    <w:rsid w:val="006F4EB9"/>
    <w:rsid w:val="006F62CE"/>
    <w:rsid w:val="006F6311"/>
    <w:rsid w:val="006F70BA"/>
    <w:rsid w:val="006F74EB"/>
    <w:rsid w:val="00701952"/>
    <w:rsid w:val="00701E48"/>
    <w:rsid w:val="00702556"/>
    <w:rsid w:val="0070277E"/>
    <w:rsid w:val="00704156"/>
    <w:rsid w:val="007069FC"/>
    <w:rsid w:val="00711221"/>
    <w:rsid w:val="007114AE"/>
    <w:rsid w:val="00712675"/>
    <w:rsid w:val="00713808"/>
    <w:rsid w:val="007151B6"/>
    <w:rsid w:val="0071520D"/>
    <w:rsid w:val="00715EDB"/>
    <w:rsid w:val="007160D5"/>
    <w:rsid w:val="007163FB"/>
    <w:rsid w:val="00717C2E"/>
    <w:rsid w:val="007204FA"/>
    <w:rsid w:val="00720522"/>
    <w:rsid w:val="00720828"/>
    <w:rsid w:val="007213B3"/>
    <w:rsid w:val="00722B2D"/>
    <w:rsid w:val="0072347A"/>
    <w:rsid w:val="0072457F"/>
    <w:rsid w:val="007247A8"/>
    <w:rsid w:val="00725406"/>
    <w:rsid w:val="0072621B"/>
    <w:rsid w:val="00727F2B"/>
    <w:rsid w:val="00730555"/>
    <w:rsid w:val="007312CC"/>
    <w:rsid w:val="00734836"/>
    <w:rsid w:val="00736A64"/>
    <w:rsid w:val="00737F6A"/>
    <w:rsid w:val="007410B6"/>
    <w:rsid w:val="00744C6F"/>
    <w:rsid w:val="007457F6"/>
    <w:rsid w:val="00745ABB"/>
    <w:rsid w:val="00746E38"/>
    <w:rsid w:val="00747CD5"/>
    <w:rsid w:val="00753B51"/>
    <w:rsid w:val="00755BDD"/>
    <w:rsid w:val="00756629"/>
    <w:rsid w:val="00756ABE"/>
    <w:rsid w:val="007575D2"/>
    <w:rsid w:val="00757603"/>
    <w:rsid w:val="00757B4F"/>
    <w:rsid w:val="00757B6A"/>
    <w:rsid w:val="00760A36"/>
    <w:rsid w:val="007610E0"/>
    <w:rsid w:val="007621AA"/>
    <w:rsid w:val="0076260A"/>
    <w:rsid w:val="00764850"/>
    <w:rsid w:val="00764A67"/>
    <w:rsid w:val="00765B24"/>
    <w:rsid w:val="007679A7"/>
    <w:rsid w:val="00770F6B"/>
    <w:rsid w:val="00771883"/>
    <w:rsid w:val="00772FDC"/>
    <w:rsid w:val="007744B3"/>
    <w:rsid w:val="00776DC2"/>
    <w:rsid w:val="00780122"/>
    <w:rsid w:val="0078214B"/>
    <w:rsid w:val="0078498A"/>
    <w:rsid w:val="007878FE"/>
    <w:rsid w:val="00792207"/>
    <w:rsid w:val="00792B64"/>
    <w:rsid w:val="00792E29"/>
    <w:rsid w:val="0079379A"/>
    <w:rsid w:val="00794953"/>
    <w:rsid w:val="007A0149"/>
    <w:rsid w:val="007A0509"/>
    <w:rsid w:val="007A1F2F"/>
    <w:rsid w:val="007A2A5C"/>
    <w:rsid w:val="007A5150"/>
    <w:rsid w:val="007A5373"/>
    <w:rsid w:val="007A7337"/>
    <w:rsid w:val="007A789F"/>
    <w:rsid w:val="007B1827"/>
    <w:rsid w:val="007B75BC"/>
    <w:rsid w:val="007C0BD6"/>
    <w:rsid w:val="007C0E3E"/>
    <w:rsid w:val="007C3806"/>
    <w:rsid w:val="007C4088"/>
    <w:rsid w:val="007C4228"/>
    <w:rsid w:val="007C5BB7"/>
    <w:rsid w:val="007C7D7B"/>
    <w:rsid w:val="007D07D5"/>
    <w:rsid w:val="007D0948"/>
    <w:rsid w:val="007D1C64"/>
    <w:rsid w:val="007D2473"/>
    <w:rsid w:val="007D32DD"/>
    <w:rsid w:val="007D4E97"/>
    <w:rsid w:val="007D6DCE"/>
    <w:rsid w:val="007D6ED4"/>
    <w:rsid w:val="007D72C4"/>
    <w:rsid w:val="007E0A18"/>
    <w:rsid w:val="007E2CFE"/>
    <w:rsid w:val="007E59C9"/>
    <w:rsid w:val="007E6A88"/>
    <w:rsid w:val="007F0072"/>
    <w:rsid w:val="007F2EB6"/>
    <w:rsid w:val="007F54C3"/>
    <w:rsid w:val="007F6087"/>
    <w:rsid w:val="00800A0A"/>
    <w:rsid w:val="008017CE"/>
    <w:rsid w:val="00802949"/>
    <w:rsid w:val="0080301E"/>
    <w:rsid w:val="0080365F"/>
    <w:rsid w:val="008107C7"/>
    <w:rsid w:val="00811405"/>
    <w:rsid w:val="00812117"/>
    <w:rsid w:val="00812BE5"/>
    <w:rsid w:val="00817429"/>
    <w:rsid w:val="00821514"/>
    <w:rsid w:val="00821E35"/>
    <w:rsid w:val="00824591"/>
    <w:rsid w:val="00824AED"/>
    <w:rsid w:val="00826F24"/>
    <w:rsid w:val="00827820"/>
    <w:rsid w:val="008307E3"/>
    <w:rsid w:val="00831B8B"/>
    <w:rsid w:val="0083405D"/>
    <w:rsid w:val="008352D4"/>
    <w:rsid w:val="00836BAB"/>
    <w:rsid w:val="00836DB9"/>
    <w:rsid w:val="00837C67"/>
    <w:rsid w:val="008415B0"/>
    <w:rsid w:val="00842028"/>
    <w:rsid w:val="00842BD1"/>
    <w:rsid w:val="008436B8"/>
    <w:rsid w:val="008460B6"/>
    <w:rsid w:val="00850C9D"/>
    <w:rsid w:val="00852B59"/>
    <w:rsid w:val="00856272"/>
    <w:rsid w:val="008563FF"/>
    <w:rsid w:val="00856B69"/>
    <w:rsid w:val="0086018B"/>
    <w:rsid w:val="008611DD"/>
    <w:rsid w:val="008620DE"/>
    <w:rsid w:val="008663A1"/>
    <w:rsid w:val="00866867"/>
    <w:rsid w:val="00866E67"/>
    <w:rsid w:val="00871E35"/>
    <w:rsid w:val="00872257"/>
    <w:rsid w:val="00874FD5"/>
    <w:rsid w:val="008753E6"/>
    <w:rsid w:val="00875D39"/>
    <w:rsid w:val="0087738C"/>
    <w:rsid w:val="008802AF"/>
    <w:rsid w:val="00881926"/>
    <w:rsid w:val="0088318F"/>
    <w:rsid w:val="0088331D"/>
    <w:rsid w:val="008852B0"/>
    <w:rsid w:val="008853A0"/>
    <w:rsid w:val="00885AE7"/>
    <w:rsid w:val="00885AF4"/>
    <w:rsid w:val="00886B60"/>
    <w:rsid w:val="00887889"/>
    <w:rsid w:val="00887F9F"/>
    <w:rsid w:val="008920FF"/>
    <w:rsid w:val="008926E8"/>
    <w:rsid w:val="00894F19"/>
    <w:rsid w:val="00896A10"/>
    <w:rsid w:val="008970D0"/>
    <w:rsid w:val="008971B5"/>
    <w:rsid w:val="008A274D"/>
    <w:rsid w:val="008A5D26"/>
    <w:rsid w:val="008A6B13"/>
    <w:rsid w:val="008A6ECB"/>
    <w:rsid w:val="008B0BF9"/>
    <w:rsid w:val="008B229C"/>
    <w:rsid w:val="008B2866"/>
    <w:rsid w:val="008B3859"/>
    <w:rsid w:val="008B4053"/>
    <w:rsid w:val="008B436D"/>
    <w:rsid w:val="008B4E49"/>
    <w:rsid w:val="008B5765"/>
    <w:rsid w:val="008B5A31"/>
    <w:rsid w:val="008B6DEB"/>
    <w:rsid w:val="008B7712"/>
    <w:rsid w:val="008B7B26"/>
    <w:rsid w:val="008C3524"/>
    <w:rsid w:val="008C4061"/>
    <w:rsid w:val="008C4229"/>
    <w:rsid w:val="008C5BE0"/>
    <w:rsid w:val="008C7233"/>
    <w:rsid w:val="008D1C60"/>
    <w:rsid w:val="008D2434"/>
    <w:rsid w:val="008D5BF2"/>
    <w:rsid w:val="008E171D"/>
    <w:rsid w:val="008E26A9"/>
    <w:rsid w:val="008E2785"/>
    <w:rsid w:val="008E5EAB"/>
    <w:rsid w:val="008E78A3"/>
    <w:rsid w:val="008F0654"/>
    <w:rsid w:val="008F06CB"/>
    <w:rsid w:val="008F2E83"/>
    <w:rsid w:val="008F612A"/>
    <w:rsid w:val="00900F4A"/>
    <w:rsid w:val="0090293D"/>
    <w:rsid w:val="009034DE"/>
    <w:rsid w:val="00903570"/>
    <w:rsid w:val="00903E2E"/>
    <w:rsid w:val="00905396"/>
    <w:rsid w:val="0090605D"/>
    <w:rsid w:val="00906419"/>
    <w:rsid w:val="009120F5"/>
    <w:rsid w:val="00912889"/>
    <w:rsid w:val="00913A42"/>
    <w:rsid w:val="00913A5A"/>
    <w:rsid w:val="00914167"/>
    <w:rsid w:val="009143DB"/>
    <w:rsid w:val="00915065"/>
    <w:rsid w:val="0091509B"/>
    <w:rsid w:val="0091590C"/>
    <w:rsid w:val="00916434"/>
    <w:rsid w:val="00917CE5"/>
    <w:rsid w:val="009217C0"/>
    <w:rsid w:val="00925241"/>
    <w:rsid w:val="00925CEC"/>
    <w:rsid w:val="00926A3F"/>
    <w:rsid w:val="0092794E"/>
    <w:rsid w:val="00930D25"/>
    <w:rsid w:val="00930D30"/>
    <w:rsid w:val="009332A2"/>
    <w:rsid w:val="00937598"/>
    <w:rsid w:val="0093790B"/>
    <w:rsid w:val="00943751"/>
    <w:rsid w:val="00946DD0"/>
    <w:rsid w:val="009509E6"/>
    <w:rsid w:val="009517BB"/>
    <w:rsid w:val="00952018"/>
    <w:rsid w:val="00952800"/>
    <w:rsid w:val="009528A7"/>
    <w:rsid w:val="0095300D"/>
    <w:rsid w:val="009537FC"/>
    <w:rsid w:val="00956812"/>
    <w:rsid w:val="009569CD"/>
    <w:rsid w:val="0095719A"/>
    <w:rsid w:val="009623E9"/>
    <w:rsid w:val="00963EEB"/>
    <w:rsid w:val="009648BC"/>
    <w:rsid w:val="00964C2F"/>
    <w:rsid w:val="00965528"/>
    <w:rsid w:val="00965F88"/>
    <w:rsid w:val="00972B96"/>
    <w:rsid w:val="00973527"/>
    <w:rsid w:val="00976611"/>
    <w:rsid w:val="00977B6C"/>
    <w:rsid w:val="00984E03"/>
    <w:rsid w:val="00986300"/>
    <w:rsid w:val="009865E3"/>
    <w:rsid w:val="00987E85"/>
    <w:rsid w:val="009A0D12"/>
    <w:rsid w:val="009A1987"/>
    <w:rsid w:val="009A2BEE"/>
    <w:rsid w:val="009A396D"/>
    <w:rsid w:val="009A5289"/>
    <w:rsid w:val="009A5E99"/>
    <w:rsid w:val="009A7A53"/>
    <w:rsid w:val="009B0402"/>
    <w:rsid w:val="009B0B75"/>
    <w:rsid w:val="009B1696"/>
    <w:rsid w:val="009B16DF"/>
    <w:rsid w:val="009B3BA2"/>
    <w:rsid w:val="009B4CB2"/>
    <w:rsid w:val="009B6701"/>
    <w:rsid w:val="009B6EF7"/>
    <w:rsid w:val="009B7000"/>
    <w:rsid w:val="009B739C"/>
    <w:rsid w:val="009C04EC"/>
    <w:rsid w:val="009C17B4"/>
    <w:rsid w:val="009C316C"/>
    <w:rsid w:val="009C328C"/>
    <w:rsid w:val="009C4444"/>
    <w:rsid w:val="009C4748"/>
    <w:rsid w:val="009C51A2"/>
    <w:rsid w:val="009C79AD"/>
    <w:rsid w:val="009C7CA6"/>
    <w:rsid w:val="009D09EA"/>
    <w:rsid w:val="009D3316"/>
    <w:rsid w:val="009D55AA"/>
    <w:rsid w:val="009E2CFB"/>
    <w:rsid w:val="009E2D32"/>
    <w:rsid w:val="009E3E77"/>
    <w:rsid w:val="009E3FAB"/>
    <w:rsid w:val="009E5B3F"/>
    <w:rsid w:val="009E6764"/>
    <w:rsid w:val="009E7D90"/>
    <w:rsid w:val="009F1AB0"/>
    <w:rsid w:val="009F1F19"/>
    <w:rsid w:val="009F259E"/>
    <w:rsid w:val="009F501D"/>
    <w:rsid w:val="00A01CD5"/>
    <w:rsid w:val="00A039D5"/>
    <w:rsid w:val="00A03C56"/>
    <w:rsid w:val="00A046AD"/>
    <w:rsid w:val="00A06D2D"/>
    <w:rsid w:val="00A079C1"/>
    <w:rsid w:val="00A12520"/>
    <w:rsid w:val="00A130FD"/>
    <w:rsid w:val="00A13D6D"/>
    <w:rsid w:val="00A14769"/>
    <w:rsid w:val="00A16151"/>
    <w:rsid w:val="00A16EC6"/>
    <w:rsid w:val="00A17C06"/>
    <w:rsid w:val="00A2126E"/>
    <w:rsid w:val="00A21706"/>
    <w:rsid w:val="00A24FCC"/>
    <w:rsid w:val="00A26A90"/>
    <w:rsid w:val="00A26B27"/>
    <w:rsid w:val="00A30796"/>
    <w:rsid w:val="00A30E4F"/>
    <w:rsid w:val="00A32253"/>
    <w:rsid w:val="00A3310E"/>
    <w:rsid w:val="00A333A0"/>
    <w:rsid w:val="00A37E70"/>
    <w:rsid w:val="00A410F2"/>
    <w:rsid w:val="00A437E1"/>
    <w:rsid w:val="00A4685E"/>
    <w:rsid w:val="00A503E8"/>
    <w:rsid w:val="00A50CD4"/>
    <w:rsid w:val="00A51191"/>
    <w:rsid w:val="00A525E1"/>
    <w:rsid w:val="00A56D62"/>
    <w:rsid w:val="00A56F07"/>
    <w:rsid w:val="00A5762C"/>
    <w:rsid w:val="00A600FC"/>
    <w:rsid w:val="00A60BCA"/>
    <w:rsid w:val="00A60E94"/>
    <w:rsid w:val="00A638DA"/>
    <w:rsid w:val="00A6544B"/>
    <w:rsid w:val="00A65B41"/>
    <w:rsid w:val="00A65E00"/>
    <w:rsid w:val="00A65F24"/>
    <w:rsid w:val="00A66489"/>
    <w:rsid w:val="00A66A78"/>
    <w:rsid w:val="00A7436E"/>
    <w:rsid w:val="00A74E96"/>
    <w:rsid w:val="00A75A8E"/>
    <w:rsid w:val="00A824DD"/>
    <w:rsid w:val="00A83676"/>
    <w:rsid w:val="00A83B7B"/>
    <w:rsid w:val="00A84274"/>
    <w:rsid w:val="00A850F3"/>
    <w:rsid w:val="00A8641A"/>
    <w:rsid w:val="00A864E3"/>
    <w:rsid w:val="00A86628"/>
    <w:rsid w:val="00A94574"/>
    <w:rsid w:val="00A95145"/>
    <w:rsid w:val="00A95936"/>
    <w:rsid w:val="00A96265"/>
    <w:rsid w:val="00A9630F"/>
    <w:rsid w:val="00A97084"/>
    <w:rsid w:val="00A97EB7"/>
    <w:rsid w:val="00AA1C2C"/>
    <w:rsid w:val="00AA35F6"/>
    <w:rsid w:val="00AA667C"/>
    <w:rsid w:val="00AA6E91"/>
    <w:rsid w:val="00AA7439"/>
    <w:rsid w:val="00AB047E"/>
    <w:rsid w:val="00AB0B0A"/>
    <w:rsid w:val="00AB0BB7"/>
    <w:rsid w:val="00AB0EB2"/>
    <w:rsid w:val="00AB1859"/>
    <w:rsid w:val="00AB22C6"/>
    <w:rsid w:val="00AB2AD0"/>
    <w:rsid w:val="00AB67FC"/>
    <w:rsid w:val="00AC00F2"/>
    <w:rsid w:val="00AC1CBF"/>
    <w:rsid w:val="00AC1D07"/>
    <w:rsid w:val="00AC31B5"/>
    <w:rsid w:val="00AC4EA1"/>
    <w:rsid w:val="00AC5381"/>
    <w:rsid w:val="00AC5920"/>
    <w:rsid w:val="00AC704F"/>
    <w:rsid w:val="00AC794F"/>
    <w:rsid w:val="00AD0E65"/>
    <w:rsid w:val="00AD2BF2"/>
    <w:rsid w:val="00AD4E90"/>
    <w:rsid w:val="00AD5422"/>
    <w:rsid w:val="00AE4179"/>
    <w:rsid w:val="00AE4425"/>
    <w:rsid w:val="00AE4FBE"/>
    <w:rsid w:val="00AE548D"/>
    <w:rsid w:val="00AE650F"/>
    <w:rsid w:val="00AE6555"/>
    <w:rsid w:val="00AE7D16"/>
    <w:rsid w:val="00AF44C3"/>
    <w:rsid w:val="00AF4881"/>
    <w:rsid w:val="00AF4CAA"/>
    <w:rsid w:val="00AF571A"/>
    <w:rsid w:val="00AF60A0"/>
    <w:rsid w:val="00AF67FC"/>
    <w:rsid w:val="00AF7DF5"/>
    <w:rsid w:val="00B006E5"/>
    <w:rsid w:val="00B00F3B"/>
    <w:rsid w:val="00B024C2"/>
    <w:rsid w:val="00B04A0D"/>
    <w:rsid w:val="00B067A8"/>
    <w:rsid w:val="00B069B0"/>
    <w:rsid w:val="00B06E47"/>
    <w:rsid w:val="00B07700"/>
    <w:rsid w:val="00B13921"/>
    <w:rsid w:val="00B1528C"/>
    <w:rsid w:val="00B16AC1"/>
    <w:rsid w:val="00B16ACD"/>
    <w:rsid w:val="00B21487"/>
    <w:rsid w:val="00B232D1"/>
    <w:rsid w:val="00B2472E"/>
    <w:rsid w:val="00B24DB5"/>
    <w:rsid w:val="00B31F9E"/>
    <w:rsid w:val="00B3268F"/>
    <w:rsid w:val="00B32C2C"/>
    <w:rsid w:val="00B33497"/>
    <w:rsid w:val="00B33A1A"/>
    <w:rsid w:val="00B33DBF"/>
    <w:rsid w:val="00B33E6C"/>
    <w:rsid w:val="00B371CC"/>
    <w:rsid w:val="00B41CD9"/>
    <w:rsid w:val="00B426DF"/>
    <w:rsid w:val="00B427E6"/>
    <w:rsid w:val="00B428A6"/>
    <w:rsid w:val="00B43822"/>
    <w:rsid w:val="00B43E1F"/>
    <w:rsid w:val="00B45FBC"/>
    <w:rsid w:val="00B51A7D"/>
    <w:rsid w:val="00B535C2"/>
    <w:rsid w:val="00B55544"/>
    <w:rsid w:val="00B56AA1"/>
    <w:rsid w:val="00B642FC"/>
    <w:rsid w:val="00B64D26"/>
    <w:rsid w:val="00B64FBB"/>
    <w:rsid w:val="00B70E22"/>
    <w:rsid w:val="00B774CB"/>
    <w:rsid w:val="00B80402"/>
    <w:rsid w:val="00B8091B"/>
    <w:rsid w:val="00B80B9A"/>
    <w:rsid w:val="00B830B7"/>
    <w:rsid w:val="00B848EA"/>
    <w:rsid w:val="00B84B2B"/>
    <w:rsid w:val="00B86C7F"/>
    <w:rsid w:val="00B90500"/>
    <w:rsid w:val="00B9176C"/>
    <w:rsid w:val="00B935A4"/>
    <w:rsid w:val="00B965F9"/>
    <w:rsid w:val="00BA4DF4"/>
    <w:rsid w:val="00BA561A"/>
    <w:rsid w:val="00BB0DC6"/>
    <w:rsid w:val="00BB15E4"/>
    <w:rsid w:val="00BB1E19"/>
    <w:rsid w:val="00BB21D1"/>
    <w:rsid w:val="00BB32F2"/>
    <w:rsid w:val="00BB3A86"/>
    <w:rsid w:val="00BB4338"/>
    <w:rsid w:val="00BB4E70"/>
    <w:rsid w:val="00BB6C0E"/>
    <w:rsid w:val="00BB7B38"/>
    <w:rsid w:val="00BC11E5"/>
    <w:rsid w:val="00BC1C5F"/>
    <w:rsid w:val="00BC4BC6"/>
    <w:rsid w:val="00BC52FD"/>
    <w:rsid w:val="00BC5A8E"/>
    <w:rsid w:val="00BC6E62"/>
    <w:rsid w:val="00BC7443"/>
    <w:rsid w:val="00BD0648"/>
    <w:rsid w:val="00BD1040"/>
    <w:rsid w:val="00BD34AA"/>
    <w:rsid w:val="00BD3E11"/>
    <w:rsid w:val="00BD485B"/>
    <w:rsid w:val="00BD56E7"/>
    <w:rsid w:val="00BD66F3"/>
    <w:rsid w:val="00BE0C44"/>
    <w:rsid w:val="00BE1B8B"/>
    <w:rsid w:val="00BE2A18"/>
    <w:rsid w:val="00BE2C01"/>
    <w:rsid w:val="00BE41EC"/>
    <w:rsid w:val="00BE56FB"/>
    <w:rsid w:val="00BE6CCC"/>
    <w:rsid w:val="00BE716F"/>
    <w:rsid w:val="00BF22CD"/>
    <w:rsid w:val="00BF3915"/>
    <w:rsid w:val="00BF3DDE"/>
    <w:rsid w:val="00BF6589"/>
    <w:rsid w:val="00BF6F7F"/>
    <w:rsid w:val="00C002C5"/>
    <w:rsid w:val="00C00647"/>
    <w:rsid w:val="00C02764"/>
    <w:rsid w:val="00C03247"/>
    <w:rsid w:val="00C04CEF"/>
    <w:rsid w:val="00C0662F"/>
    <w:rsid w:val="00C11943"/>
    <w:rsid w:val="00C12E96"/>
    <w:rsid w:val="00C14763"/>
    <w:rsid w:val="00C16141"/>
    <w:rsid w:val="00C2363F"/>
    <w:rsid w:val="00C236C8"/>
    <w:rsid w:val="00C260B1"/>
    <w:rsid w:val="00C26E56"/>
    <w:rsid w:val="00C31406"/>
    <w:rsid w:val="00C345F8"/>
    <w:rsid w:val="00C37194"/>
    <w:rsid w:val="00C40637"/>
    <w:rsid w:val="00C409DB"/>
    <w:rsid w:val="00C40F6C"/>
    <w:rsid w:val="00C44426"/>
    <w:rsid w:val="00C445F3"/>
    <w:rsid w:val="00C44658"/>
    <w:rsid w:val="00C451F4"/>
    <w:rsid w:val="00C45EB1"/>
    <w:rsid w:val="00C508B1"/>
    <w:rsid w:val="00C538B9"/>
    <w:rsid w:val="00C54A3A"/>
    <w:rsid w:val="00C55566"/>
    <w:rsid w:val="00C558C4"/>
    <w:rsid w:val="00C56448"/>
    <w:rsid w:val="00C57891"/>
    <w:rsid w:val="00C63A40"/>
    <w:rsid w:val="00C63C9D"/>
    <w:rsid w:val="00C66352"/>
    <w:rsid w:val="00C667BE"/>
    <w:rsid w:val="00C6766B"/>
    <w:rsid w:val="00C72223"/>
    <w:rsid w:val="00C763A2"/>
    <w:rsid w:val="00C76417"/>
    <w:rsid w:val="00C7719B"/>
    <w:rsid w:val="00C7726F"/>
    <w:rsid w:val="00C815FB"/>
    <w:rsid w:val="00C823DA"/>
    <w:rsid w:val="00C8259F"/>
    <w:rsid w:val="00C82746"/>
    <w:rsid w:val="00C8312F"/>
    <w:rsid w:val="00C84C47"/>
    <w:rsid w:val="00C858A4"/>
    <w:rsid w:val="00C86AFA"/>
    <w:rsid w:val="00C87F3A"/>
    <w:rsid w:val="00C9482D"/>
    <w:rsid w:val="00C94859"/>
    <w:rsid w:val="00CA3A49"/>
    <w:rsid w:val="00CB18D0"/>
    <w:rsid w:val="00CB1C8A"/>
    <w:rsid w:val="00CB24F5"/>
    <w:rsid w:val="00CB2663"/>
    <w:rsid w:val="00CB3BBE"/>
    <w:rsid w:val="00CB565D"/>
    <w:rsid w:val="00CB59E9"/>
    <w:rsid w:val="00CC06F5"/>
    <w:rsid w:val="00CC0D6A"/>
    <w:rsid w:val="00CC3831"/>
    <w:rsid w:val="00CC3E3D"/>
    <w:rsid w:val="00CC519B"/>
    <w:rsid w:val="00CC5558"/>
    <w:rsid w:val="00CD12C1"/>
    <w:rsid w:val="00CD214E"/>
    <w:rsid w:val="00CD2277"/>
    <w:rsid w:val="00CD46FA"/>
    <w:rsid w:val="00CD5973"/>
    <w:rsid w:val="00CE31A6"/>
    <w:rsid w:val="00CF09AA"/>
    <w:rsid w:val="00CF4813"/>
    <w:rsid w:val="00CF5233"/>
    <w:rsid w:val="00CF7073"/>
    <w:rsid w:val="00D001B9"/>
    <w:rsid w:val="00D029B8"/>
    <w:rsid w:val="00D02F60"/>
    <w:rsid w:val="00D0464E"/>
    <w:rsid w:val="00D04A96"/>
    <w:rsid w:val="00D07A7B"/>
    <w:rsid w:val="00D10E06"/>
    <w:rsid w:val="00D1139A"/>
    <w:rsid w:val="00D15197"/>
    <w:rsid w:val="00D16820"/>
    <w:rsid w:val="00D169C8"/>
    <w:rsid w:val="00D1793F"/>
    <w:rsid w:val="00D20885"/>
    <w:rsid w:val="00D22AF5"/>
    <w:rsid w:val="00D235EA"/>
    <w:rsid w:val="00D2420F"/>
    <w:rsid w:val="00D247A9"/>
    <w:rsid w:val="00D32721"/>
    <w:rsid w:val="00D328DC"/>
    <w:rsid w:val="00D33387"/>
    <w:rsid w:val="00D34430"/>
    <w:rsid w:val="00D36D9E"/>
    <w:rsid w:val="00D402FB"/>
    <w:rsid w:val="00D408B6"/>
    <w:rsid w:val="00D40A2A"/>
    <w:rsid w:val="00D40FA6"/>
    <w:rsid w:val="00D42ECA"/>
    <w:rsid w:val="00D433EB"/>
    <w:rsid w:val="00D46C7F"/>
    <w:rsid w:val="00D47979"/>
    <w:rsid w:val="00D47D7A"/>
    <w:rsid w:val="00D50ABD"/>
    <w:rsid w:val="00D52AB9"/>
    <w:rsid w:val="00D53158"/>
    <w:rsid w:val="00D55290"/>
    <w:rsid w:val="00D57791"/>
    <w:rsid w:val="00D578F3"/>
    <w:rsid w:val="00D6046A"/>
    <w:rsid w:val="00D62870"/>
    <w:rsid w:val="00D634CB"/>
    <w:rsid w:val="00D655D9"/>
    <w:rsid w:val="00D65872"/>
    <w:rsid w:val="00D65CF7"/>
    <w:rsid w:val="00D676F3"/>
    <w:rsid w:val="00D70EF5"/>
    <w:rsid w:val="00D71024"/>
    <w:rsid w:val="00D71A25"/>
    <w:rsid w:val="00D71FCF"/>
    <w:rsid w:val="00D72A54"/>
    <w:rsid w:val="00D72C95"/>
    <w:rsid w:val="00D72CC1"/>
    <w:rsid w:val="00D74BBA"/>
    <w:rsid w:val="00D76EC9"/>
    <w:rsid w:val="00D80CEA"/>
    <w:rsid w:val="00D80E7D"/>
    <w:rsid w:val="00D81397"/>
    <w:rsid w:val="00D848B9"/>
    <w:rsid w:val="00D90E69"/>
    <w:rsid w:val="00D91368"/>
    <w:rsid w:val="00D914FF"/>
    <w:rsid w:val="00D91E12"/>
    <w:rsid w:val="00D93106"/>
    <w:rsid w:val="00D933E9"/>
    <w:rsid w:val="00D9505D"/>
    <w:rsid w:val="00D953D0"/>
    <w:rsid w:val="00D9583A"/>
    <w:rsid w:val="00D958C8"/>
    <w:rsid w:val="00D959F5"/>
    <w:rsid w:val="00D96884"/>
    <w:rsid w:val="00DA35E9"/>
    <w:rsid w:val="00DA3FA2"/>
    <w:rsid w:val="00DA3FDD"/>
    <w:rsid w:val="00DA6805"/>
    <w:rsid w:val="00DA7017"/>
    <w:rsid w:val="00DA7028"/>
    <w:rsid w:val="00DB1AD2"/>
    <w:rsid w:val="00DB2B58"/>
    <w:rsid w:val="00DB5206"/>
    <w:rsid w:val="00DB6276"/>
    <w:rsid w:val="00DB63F5"/>
    <w:rsid w:val="00DC193A"/>
    <w:rsid w:val="00DC1C6B"/>
    <w:rsid w:val="00DC206B"/>
    <w:rsid w:val="00DC2C2E"/>
    <w:rsid w:val="00DC4AF0"/>
    <w:rsid w:val="00DC586F"/>
    <w:rsid w:val="00DC7886"/>
    <w:rsid w:val="00DD0CF2"/>
    <w:rsid w:val="00DD59AD"/>
    <w:rsid w:val="00DE1554"/>
    <w:rsid w:val="00DE2901"/>
    <w:rsid w:val="00DE590F"/>
    <w:rsid w:val="00DE7DC1"/>
    <w:rsid w:val="00DE7F19"/>
    <w:rsid w:val="00DF3F7E"/>
    <w:rsid w:val="00DF41B6"/>
    <w:rsid w:val="00DF7102"/>
    <w:rsid w:val="00DF7648"/>
    <w:rsid w:val="00DF778B"/>
    <w:rsid w:val="00E00E29"/>
    <w:rsid w:val="00E02BAB"/>
    <w:rsid w:val="00E04CEB"/>
    <w:rsid w:val="00E060BC"/>
    <w:rsid w:val="00E077F3"/>
    <w:rsid w:val="00E105CF"/>
    <w:rsid w:val="00E10F04"/>
    <w:rsid w:val="00E11420"/>
    <w:rsid w:val="00E11C0C"/>
    <w:rsid w:val="00E132FB"/>
    <w:rsid w:val="00E170B7"/>
    <w:rsid w:val="00E177DD"/>
    <w:rsid w:val="00E20900"/>
    <w:rsid w:val="00E20C7F"/>
    <w:rsid w:val="00E22A37"/>
    <w:rsid w:val="00E2396E"/>
    <w:rsid w:val="00E24728"/>
    <w:rsid w:val="00E276AC"/>
    <w:rsid w:val="00E34A35"/>
    <w:rsid w:val="00E37C2F"/>
    <w:rsid w:val="00E41C28"/>
    <w:rsid w:val="00E44CC2"/>
    <w:rsid w:val="00E46308"/>
    <w:rsid w:val="00E51E17"/>
    <w:rsid w:val="00E52DAB"/>
    <w:rsid w:val="00E5360C"/>
    <w:rsid w:val="00E539B0"/>
    <w:rsid w:val="00E55994"/>
    <w:rsid w:val="00E56718"/>
    <w:rsid w:val="00E57D8D"/>
    <w:rsid w:val="00E60606"/>
    <w:rsid w:val="00E60C66"/>
    <w:rsid w:val="00E6164D"/>
    <w:rsid w:val="00E618C9"/>
    <w:rsid w:val="00E62774"/>
    <w:rsid w:val="00E6307C"/>
    <w:rsid w:val="00E636FA"/>
    <w:rsid w:val="00E66C50"/>
    <w:rsid w:val="00E679D3"/>
    <w:rsid w:val="00E67F43"/>
    <w:rsid w:val="00E71208"/>
    <w:rsid w:val="00E71444"/>
    <w:rsid w:val="00E71C91"/>
    <w:rsid w:val="00E720A1"/>
    <w:rsid w:val="00E72963"/>
    <w:rsid w:val="00E75DDA"/>
    <w:rsid w:val="00E773E8"/>
    <w:rsid w:val="00E83ADD"/>
    <w:rsid w:val="00E84F38"/>
    <w:rsid w:val="00E85623"/>
    <w:rsid w:val="00E87441"/>
    <w:rsid w:val="00E910CB"/>
    <w:rsid w:val="00E91FAE"/>
    <w:rsid w:val="00E93277"/>
    <w:rsid w:val="00E9446F"/>
    <w:rsid w:val="00E9483B"/>
    <w:rsid w:val="00E9698F"/>
    <w:rsid w:val="00E96E3F"/>
    <w:rsid w:val="00E96F6C"/>
    <w:rsid w:val="00EA06C9"/>
    <w:rsid w:val="00EA270C"/>
    <w:rsid w:val="00EA4974"/>
    <w:rsid w:val="00EA4AFC"/>
    <w:rsid w:val="00EA4BBC"/>
    <w:rsid w:val="00EA532E"/>
    <w:rsid w:val="00EA67C6"/>
    <w:rsid w:val="00EA7DA4"/>
    <w:rsid w:val="00EB06D9"/>
    <w:rsid w:val="00EB0D94"/>
    <w:rsid w:val="00EB192B"/>
    <w:rsid w:val="00EB19ED"/>
    <w:rsid w:val="00EB1CAB"/>
    <w:rsid w:val="00EC0F5A"/>
    <w:rsid w:val="00EC105C"/>
    <w:rsid w:val="00EC4265"/>
    <w:rsid w:val="00EC4CEB"/>
    <w:rsid w:val="00EC659E"/>
    <w:rsid w:val="00ED0A14"/>
    <w:rsid w:val="00ED11E2"/>
    <w:rsid w:val="00ED2072"/>
    <w:rsid w:val="00ED2AE0"/>
    <w:rsid w:val="00ED5553"/>
    <w:rsid w:val="00ED5E36"/>
    <w:rsid w:val="00ED6961"/>
    <w:rsid w:val="00EE765D"/>
    <w:rsid w:val="00EF0B96"/>
    <w:rsid w:val="00EF3486"/>
    <w:rsid w:val="00EF47AF"/>
    <w:rsid w:val="00EF53B6"/>
    <w:rsid w:val="00EF7038"/>
    <w:rsid w:val="00F00B73"/>
    <w:rsid w:val="00F02EA3"/>
    <w:rsid w:val="00F05E80"/>
    <w:rsid w:val="00F115CA"/>
    <w:rsid w:val="00F14817"/>
    <w:rsid w:val="00F14EBA"/>
    <w:rsid w:val="00F1510F"/>
    <w:rsid w:val="00F1533A"/>
    <w:rsid w:val="00F15761"/>
    <w:rsid w:val="00F15E5A"/>
    <w:rsid w:val="00F17F0A"/>
    <w:rsid w:val="00F21FED"/>
    <w:rsid w:val="00F254ED"/>
    <w:rsid w:val="00F2668F"/>
    <w:rsid w:val="00F2742F"/>
    <w:rsid w:val="00F2753B"/>
    <w:rsid w:val="00F33F8B"/>
    <w:rsid w:val="00F340B2"/>
    <w:rsid w:val="00F43390"/>
    <w:rsid w:val="00F443B2"/>
    <w:rsid w:val="00F458D8"/>
    <w:rsid w:val="00F4638B"/>
    <w:rsid w:val="00F50237"/>
    <w:rsid w:val="00F53596"/>
    <w:rsid w:val="00F551D6"/>
    <w:rsid w:val="00F55BA8"/>
    <w:rsid w:val="00F55DB1"/>
    <w:rsid w:val="00F56ACA"/>
    <w:rsid w:val="00F600FE"/>
    <w:rsid w:val="00F6027E"/>
    <w:rsid w:val="00F6074D"/>
    <w:rsid w:val="00F62BAF"/>
    <w:rsid w:val="00F62E4D"/>
    <w:rsid w:val="00F66B34"/>
    <w:rsid w:val="00F675B9"/>
    <w:rsid w:val="00F711C9"/>
    <w:rsid w:val="00F74C59"/>
    <w:rsid w:val="00F75C3A"/>
    <w:rsid w:val="00F7620C"/>
    <w:rsid w:val="00F7754F"/>
    <w:rsid w:val="00F80BB7"/>
    <w:rsid w:val="00F811D1"/>
    <w:rsid w:val="00F82E30"/>
    <w:rsid w:val="00F82E53"/>
    <w:rsid w:val="00F831CB"/>
    <w:rsid w:val="00F84577"/>
    <w:rsid w:val="00F848A3"/>
    <w:rsid w:val="00F84ACF"/>
    <w:rsid w:val="00F85742"/>
    <w:rsid w:val="00F85BF8"/>
    <w:rsid w:val="00F871CE"/>
    <w:rsid w:val="00F87802"/>
    <w:rsid w:val="00F91994"/>
    <w:rsid w:val="00F92C0A"/>
    <w:rsid w:val="00F9415B"/>
    <w:rsid w:val="00FA13C2"/>
    <w:rsid w:val="00FA7C1A"/>
    <w:rsid w:val="00FA7F91"/>
    <w:rsid w:val="00FB121C"/>
    <w:rsid w:val="00FB1CDD"/>
    <w:rsid w:val="00FB2C2F"/>
    <w:rsid w:val="00FB305C"/>
    <w:rsid w:val="00FB4A79"/>
    <w:rsid w:val="00FB7D62"/>
    <w:rsid w:val="00FB7DE6"/>
    <w:rsid w:val="00FC2E3D"/>
    <w:rsid w:val="00FC3BDE"/>
    <w:rsid w:val="00FD1DBE"/>
    <w:rsid w:val="00FD25A7"/>
    <w:rsid w:val="00FD27B6"/>
    <w:rsid w:val="00FD3689"/>
    <w:rsid w:val="00FD42A3"/>
    <w:rsid w:val="00FD7468"/>
    <w:rsid w:val="00FD74A4"/>
    <w:rsid w:val="00FD7B64"/>
    <w:rsid w:val="00FD7CE0"/>
    <w:rsid w:val="00FE0B3B"/>
    <w:rsid w:val="00FE1BE2"/>
    <w:rsid w:val="00FE2CC0"/>
    <w:rsid w:val="00FE730A"/>
    <w:rsid w:val="00FF1DD7"/>
    <w:rsid w:val="00FF4453"/>
    <w:rsid w:val="00FF66F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1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pl-PL" w:eastAsia="pl-P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43782C"/>
    <w:pPr>
      <w:spacing w:after="200" w:line="276" w:lineRule="auto"/>
    </w:pPr>
    <w:rPr>
      <w:rFonts w:ascii="Open Sans" w:eastAsia="Open Sans" w:hAnsi="Open Sans" w:cs="Open Sans"/>
      <w:sz w:val="24"/>
      <w:szCs w:val="22"/>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Cambria" w:eastAsia="Times New Roman" w:hAnsi="Cambria" w:cs="Times New Roman"/>
      <w:b/>
      <w:bCs/>
      <w:color w:val="365F91"/>
      <w:kern w:val="1"/>
      <w:sz w:val="28"/>
      <w:szCs w:val="28"/>
      <w:lang w:eastAsia="ar-SA"/>
    </w:rPr>
  </w:style>
  <w:style w:type="paragraph" w:styleId="Nagwek2">
    <w:name w:val="heading 2"/>
    <w:basedOn w:val="Normalny"/>
    <w:next w:val="Normalny"/>
    <w:link w:val="Nagwek2Znak"/>
    <w:uiPriority w:val="99"/>
    <w:semiHidden/>
    <w:unhideWhenUsed/>
    <w:qFormat/>
    <w:rsid w:val="00CF7073"/>
    <w:pPr>
      <w:keepNext/>
      <w:spacing w:before="240" w:after="60"/>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iPriority w:val="99"/>
    <w:semiHidden/>
    <w:unhideWhenUsed/>
    <w:qFormat/>
    <w:rsid w:val="00332211"/>
    <w:pPr>
      <w:keepNext/>
      <w:spacing w:before="240" w:after="60"/>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uiPriority w:val="99"/>
    <w:semiHidden/>
    <w:unhideWhenUsed/>
    <w:qFormat/>
    <w:rsid w:val="00332211"/>
    <w:pPr>
      <w:keepNext/>
      <w:spacing w:before="240" w:after="60"/>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 w:val="20"/>
      <w:szCs w:val="20"/>
      <w:lang w:eastAsia="ar-SA"/>
    </w:rPr>
  </w:style>
  <w:style w:type="character" w:customStyle="1" w:styleId="NagwekZnak">
    <w:name w:val="Nagłówek Znak"/>
    <w:link w:val="Nagwek"/>
    <w:uiPriority w:val="99"/>
    <w:semiHidden/>
    <w:rsid w:val="00060076"/>
    <w:rPr>
      <w:rFonts w:eastAsia="Times New Roman"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 w:val="20"/>
      <w:szCs w:val="20"/>
      <w:lang w:eastAsia="ar-SA"/>
    </w:rPr>
  </w:style>
  <w:style w:type="character" w:customStyle="1" w:styleId="StopkaZnak">
    <w:name w:val="Stopka Znak"/>
    <w:link w:val="Stopka"/>
    <w:uiPriority w:val="99"/>
    <w:semiHidden/>
    <w:rsid w:val="00060076"/>
    <w:rPr>
      <w:rFonts w:eastAsia="Times New Roman"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imes New Roman"/>
      <w:kern w:val="1"/>
      <w:sz w:val="16"/>
      <w:szCs w:val="16"/>
      <w:lang w:eastAsia="ar-SA"/>
    </w:rPr>
  </w:style>
  <w:style w:type="character" w:customStyle="1" w:styleId="TekstdymkaZnak">
    <w:name w:val="Tekst dymka Znak"/>
    <w:link w:val="Tekstdymka"/>
    <w:uiPriority w:val="99"/>
    <w:semiHidden/>
    <w:rsid w:val="004C3F97"/>
    <w:rPr>
      <w:rFonts w:ascii="Tahoma" w:eastAsia="Times New Roman"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line="360" w:lineRule="auto"/>
      <w:ind w:firstLine="510"/>
      <w:jc w:val="both"/>
    </w:pPr>
    <w:rPr>
      <w:rFonts w:cs="Arial"/>
      <w:sz w:val="24"/>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link w:val="Nagwek1"/>
    <w:uiPriority w:val="99"/>
    <w:semiHidden/>
    <w:rsid w:val="004504C0"/>
    <w:rPr>
      <w:rFonts w:ascii="Cambria" w:eastAsia="Times New Roman" w:hAnsi="Cambria" w:cs="Times New Roman"/>
      <w:b/>
      <w:bCs/>
      <w:color w:val="365F91"/>
      <w:kern w:val="1"/>
      <w:sz w:val="28"/>
      <w:szCs w:val="28"/>
      <w:lang w:eastAsia="ar-SA"/>
    </w:rPr>
  </w:style>
  <w:style w:type="paragraph" w:styleId="Bezodstpw">
    <w:name w:val="No Spacing"/>
    <w:uiPriority w:val="99"/>
    <w:semiHidden/>
    <w:rsid w:val="004C3F97"/>
    <w:pPr>
      <w:widowControl w:val="0"/>
      <w:suppressAutoHyphens/>
      <w:spacing w:line="360" w:lineRule="auto"/>
    </w:pPr>
    <w:rPr>
      <w:kern w:val="1"/>
      <w:sz w:val="24"/>
      <w:szCs w:val="24"/>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9"/>
    <w:qFormat/>
    <w:rsid w:val="006A748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99"/>
    <w:qFormat/>
    <w:rsid w:val="006A748A"/>
    <w:pPr>
      <w:keepNext/>
      <w:suppressAutoHyphens/>
      <w:spacing w:after="120" w:line="360" w:lineRule="auto"/>
      <w:jc w:val="center"/>
    </w:pPr>
    <w:rPr>
      <w:b/>
      <w:bCs/>
      <w:caps/>
      <w:spacing w:val="54"/>
      <w:kern w:val="24"/>
      <w:sz w:val="24"/>
      <w:szCs w:val="24"/>
    </w:rPr>
  </w:style>
  <w:style w:type="paragraph" w:customStyle="1" w:styleId="USTustnpkodeksu">
    <w:name w:val="UST(§) – ust. (§ np. kodeksu)"/>
    <w:basedOn w:val="ARTartustawynprozporzdzenia"/>
    <w:uiPriority w:val="99"/>
    <w:qFormat/>
    <w:rsid w:val="006A748A"/>
    <w:pPr>
      <w:spacing w:before="0"/>
    </w:pPr>
    <w:rPr>
      <w:bCs/>
    </w:rPr>
  </w:style>
  <w:style w:type="paragraph" w:customStyle="1" w:styleId="PKTpunkt">
    <w:name w:val="PKT – punkt"/>
    <w:uiPriority w:val="99"/>
    <w:qFormat/>
    <w:rsid w:val="005147E8"/>
    <w:pPr>
      <w:spacing w:line="360" w:lineRule="auto"/>
      <w:ind w:left="510" w:hanging="510"/>
      <w:jc w:val="both"/>
    </w:pPr>
    <w:rPr>
      <w:rFonts w:cs="Arial"/>
      <w:bCs/>
      <w:sz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99"/>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99"/>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line="360" w:lineRule="auto"/>
      <w:jc w:val="center"/>
    </w:pPr>
    <w:rPr>
      <w:b/>
      <w:bCs/>
      <w:sz w:val="24"/>
      <w:szCs w:val="24"/>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spacing w:line="360" w:lineRule="auto"/>
      <w:ind w:left="510"/>
      <w:jc w:val="center"/>
    </w:pPr>
    <w:rPr>
      <w:rFonts w:cs="Arial"/>
      <w:bCs/>
      <w:kern w:val="24"/>
      <w:sz w:val="24"/>
      <w:szCs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 w:val="20"/>
      <w:szCs w:val="20"/>
    </w:rPr>
  </w:style>
  <w:style w:type="character" w:customStyle="1" w:styleId="TekstprzypisudolnegoZnak">
    <w:name w:val="Tekst przypisu dolnego Znak"/>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 w:val="20"/>
      <w:szCs w:val="20"/>
    </w:rPr>
  </w:style>
  <w:style w:type="character" w:customStyle="1" w:styleId="TekstkomentarzaZnak">
    <w:name w:val="Tekst komentarza Znak"/>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99"/>
    <w:qFormat/>
    <w:rsid w:val="006A748A"/>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99"/>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uiPriority w:val="99"/>
    <w:qFormat/>
    <w:rsid w:val="00A12520"/>
    <w:rPr>
      <w:b w:val="0"/>
      <w:i w:val="0"/>
      <w:vanish w:val="0"/>
      <w:spacing w:val="0"/>
      <w:vertAlign w:val="superscript"/>
    </w:rPr>
  </w:style>
  <w:style w:type="character" w:customStyle="1" w:styleId="IDindeksdolny">
    <w:name w:val="_ID_ – indeks dolny"/>
    <w:uiPriority w:val="3"/>
    <w:qFormat/>
    <w:rsid w:val="00591124"/>
    <w:rPr>
      <w:b w:val="0"/>
      <w:i w:val="0"/>
      <w:vanish w:val="0"/>
      <w:spacing w:val="0"/>
      <w:vertAlign w:val="subscript"/>
    </w:rPr>
  </w:style>
  <w:style w:type="character" w:customStyle="1" w:styleId="IDPindeksdolnyipogrubienie">
    <w:name w:val="_ID_P_ – indeks dolny i pogrubienie"/>
    <w:uiPriority w:val="3"/>
    <w:qFormat/>
    <w:rsid w:val="00591124"/>
    <w:rPr>
      <w:b/>
      <w:vanish w:val="0"/>
      <w:spacing w:val="0"/>
      <w:vertAlign w:val="subscript"/>
    </w:rPr>
  </w:style>
  <w:style w:type="character" w:customStyle="1" w:styleId="IDKindeksdolnyikursywa">
    <w:name w:val="_ID_K_ – indeks dolny i kursywa"/>
    <w:uiPriority w:val="3"/>
    <w:qFormat/>
    <w:rsid w:val="00591124"/>
    <w:rPr>
      <w:i/>
      <w:vanish w:val="0"/>
      <w:spacing w:val="0"/>
      <w:vertAlign w:val="subscript"/>
    </w:rPr>
  </w:style>
  <w:style w:type="character" w:customStyle="1" w:styleId="IGPindeksgrnyipogrubienie">
    <w:name w:val="_IG_P_ – indeks górny i pogrubienie"/>
    <w:uiPriority w:val="2"/>
    <w:qFormat/>
    <w:rsid w:val="00A12520"/>
    <w:rPr>
      <w:b/>
      <w:vanish w:val="0"/>
      <w:spacing w:val="0"/>
      <w:vertAlign w:val="superscript"/>
    </w:rPr>
  </w:style>
  <w:style w:type="character" w:customStyle="1" w:styleId="IGKindeksgrnyikursywa">
    <w:name w:val="_IG_K_ – indeks górny i kursywa"/>
    <w:uiPriority w:val="2"/>
    <w:qFormat/>
    <w:rsid w:val="00A12520"/>
    <w:rPr>
      <w:i/>
      <w:vanish w:val="0"/>
      <w:spacing w:val="0"/>
      <w:vertAlign w:val="superscript"/>
    </w:rPr>
  </w:style>
  <w:style w:type="character" w:customStyle="1" w:styleId="IGPKindeksgrnyipogrubieniekursywa">
    <w:name w:val="_IG_P_K_ – indeks górny i pogrubienie kursywa"/>
    <w:uiPriority w:val="2"/>
    <w:qFormat/>
    <w:rsid w:val="00591124"/>
    <w:rPr>
      <w:b/>
      <w:i/>
      <w:vanish w:val="0"/>
      <w:spacing w:val="0"/>
      <w:vertAlign w:val="superscript"/>
    </w:rPr>
  </w:style>
  <w:style w:type="character" w:customStyle="1" w:styleId="IDPKindeksdolnyipogrugieniekursywa">
    <w:name w:val="_ID_P_K_ – indeks dolny i pogrugienie kursywa"/>
    <w:uiPriority w:val="3"/>
    <w:qFormat/>
    <w:rsid w:val="00591124"/>
    <w:rPr>
      <w:b/>
      <w:i/>
      <w:vanish w:val="0"/>
      <w:spacing w:val="0"/>
      <w:vertAlign w:val="subscript"/>
    </w:rPr>
  </w:style>
  <w:style w:type="character" w:customStyle="1" w:styleId="Ppogrubienie">
    <w:name w:val="_P_ – pogrubienie"/>
    <w:uiPriority w:val="1"/>
    <w:qFormat/>
    <w:rsid w:val="006A748A"/>
    <w:rPr>
      <w:b/>
    </w:rPr>
  </w:style>
  <w:style w:type="character" w:customStyle="1" w:styleId="Kkursywa">
    <w:name w:val="_K_ – kursywa"/>
    <w:uiPriority w:val="1"/>
    <w:qFormat/>
    <w:rsid w:val="006A748A"/>
    <w:rPr>
      <w:i/>
    </w:rPr>
  </w:style>
  <w:style w:type="character" w:customStyle="1" w:styleId="PKpogrubieniekursywa">
    <w:name w:val="_P_K_ – pogrubienie kursywa"/>
    <w:uiPriority w:val="1"/>
    <w:qFormat/>
    <w:rsid w:val="006A748A"/>
    <w:rPr>
      <w:b/>
      <w:i/>
    </w:rPr>
  </w:style>
  <w:style w:type="character" w:customStyle="1" w:styleId="TEKSTOZNACZONYWDOKUMENCIERDOWYMJAKOUKRYTY">
    <w:name w:val="_TEKST_OZNACZONY_W_DOKUMENCIE_ŹRÓDŁOWYM_JAKO_UKRYTY_"/>
    <w:uiPriority w:val="4"/>
    <w:unhideWhenUsed/>
    <w:qFormat/>
    <w:rsid w:val="009D55AA"/>
    <w:rPr>
      <w:vanish w:val="0"/>
      <w:color w:val="FF0000"/>
      <w:u w:val="single" w:color="FF0000"/>
    </w:rPr>
  </w:style>
  <w:style w:type="character" w:customStyle="1" w:styleId="BEZWERSALIKW">
    <w:name w:val="_BEZ_WERSALIKÓW_"/>
    <w:uiPriority w:val="4"/>
    <w:qFormat/>
    <w:rsid w:val="00390E89"/>
    <w:rPr>
      <w:caps/>
    </w:rPr>
  </w:style>
  <w:style w:type="character" w:customStyle="1" w:styleId="IIGPindeksgrnyindeksugrnegoipogrubienie">
    <w:name w:val="_IIG_P_ – indeks górny indeksu górnego i pogrubienie"/>
    <w:uiPriority w:val="3"/>
    <w:qFormat/>
    <w:rsid w:val="00A12520"/>
    <w:rPr>
      <w:b/>
      <w:vanish w:val="0"/>
      <w:spacing w:val="0"/>
      <w:position w:val="6"/>
      <w:vertAlign w:val="superscript"/>
    </w:rPr>
  </w:style>
  <w:style w:type="character" w:customStyle="1" w:styleId="IIGindeksgrnyindeksugrnego">
    <w:name w:val="_IIG_ – indeks górny indeksu górnego"/>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99"/>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341A6A"/>
    <w:rPr>
      <w:color w:val="808080"/>
    </w:rPr>
  </w:style>
  <w:style w:type="paragraph" w:styleId="Akapitzlist">
    <w:name w:val="List Paragraph"/>
    <w:basedOn w:val="Normalny"/>
    <w:uiPriority w:val="99"/>
    <w:qFormat/>
    <w:rsid w:val="00031C9D"/>
    <w:pPr>
      <w:spacing w:after="0" w:line="240" w:lineRule="auto"/>
      <w:ind w:left="720"/>
      <w:contextualSpacing/>
    </w:pPr>
    <w:rPr>
      <w:rFonts w:ascii="Times New Roman" w:eastAsia="Times New Roman" w:hAnsi="Times New Roman" w:cs="Times New Roman"/>
      <w:sz w:val="20"/>
      <w:szCs w:val="20"/>
    </w:rPr>
  </w:style>
  <w:style w:type="paragraph" w:styleId="Tytu">
    <w:name w:val="Title"/>
    <w:basedOn w:val="Normalny"/>
    <w:next w:val="Normalny"/>
    <w:link w:val="TytuZnak"/>
    <w:uiPriority w:val="99"/>
    <w:rsid w:val="005F3D25"/>
    <w:pPr>
      <w:spacing w:after="0" w:line="240" w:lineRule="auto"/>
      <w:contextualSpacing/>
    </w:pPr>
    <w:rPr>
      <w:rFonts w:ascii="Cambria" w:eastAsia="Times New Roman" w:hAnsi="Cambria" w:cs="Times New Roman"/>
      <w:spacing w:val="-10"/>
      <w:kern w:val="28"/>
      <w:sz w:val="56"/>
      <w:szCs w:val="56"/>
    </w:rPr>
  </w:style>
  <w:style w:type="character" w:customStyle="1" w:styleId="TytuZnak">
    <w:name w:val="Tytuł Znak"/>
    <w:link w:val="Tytu"/>
    <w:uiPriority w:val="99"/>
    <w:rsid w:val="005F3D25"/>
    <w:rPr>
      <w:rFonts w:ascii="Cambria" w:eastAsia="Times New Roman" w:hAnsi="Cambria" w:cs="Times New Roman"/>
      <w:spacing w:val="-10"/>
      <w:kern w:val="28"/>
      <w:sz w:val="56"/>
      <w:szCs w:val="56"/>
    </w:rPr>
  </w:style>
  <w:style w:type="character" w:styleId="Uwydatnienie">
    <w:name w:val="Emphasis"/>
    <w:uiPriority w:val="20"/>
    <w:qFormat/>
    <w:rsid w:val="00D34430"/>
    <w:rPr>
      <w:i/>
      <w:iCs/>
    </w:rPr>
  </w:style>
  <w:style w:type="character" w:styleId="Tytuksiki">
    <w:name w:val="Book Title"/>
    <w:uiPriority w:val="99"/>
    <w:rsid w:val="000E21A6"/>
    <w:rPr>
      <w:b/>
      <w:bCs/>
      <w:i/>
      <w:iCs/>
      <w:spacing w:val="5"/>
    </w:rPr>
  </w:style>
  <w:style w:type="character" w:styleId="Pogrubienie">
    <w:name w:val="Strong"/>
    <w:uiPriority w:val="99"/>
    <w:qFormat/>
    <w:rsid w:val="000E21A6"/>
    <w:rPr>
      <w:b/>
      <w:bCs/>
    </w:rPr>
  </w:style>
  <w:style w:type="character" w:styleId="Odwoanieintensywne">
    <w:name w:val="Intense Reference"/>
    <w:uiPriority w:val="99"/>
    <w:rsid w:val="000E21A6"/>
    <w:rPr>
      <w:b/>
      <w:bCs/>
      <w:smallCaps/>
      <w:color w:val="4F81BD"/>
      <w:spacing w:val="5"/>
    </w:rPr>
  </w:style>
  <w:style w:type="character" w:styleId="Odwoaniedelikatne">
    <w:name w:val="Subtle Reference"/>
    <w:uiPriority w:val="99"/>
    <w:rsid w:val="000E21A6"/>
    <w:rPr>
      <w:smallCaps/>
      <w:color w:val="5A5A5A"/>
    </w:rPr>
  </w:style>
  <w:style w:type="paragraph" w:styleId="Poprawka">
    <w:name w:val="Revision"/>
    <w:hidden/>
    <w:uiPriority w:val="99"/>
    <w:semiHidden/>
    <w:rsid w:val="00FA7C1A"/>
    <w:rPr>
      <w:rFonts w:ascii="Open Sans" w:eastAsia="Open Sans" w:hAnsi="Open Sans" w:cs="Open Sans"/>
      <w:sz w:val="24"/>
      <w:szCs w:val="22"/>
    </w:rPr>
  </w:style>
  <w:style w:type="paragraph" w:styleId="Tekstprzypisukocowego">
    <w:name w:val="endnote text"/>
    <w:basedOn w:val="Normalny"/>
    <w:link w:val="TekstprzypisukocowegoZnak"/>
    <w:uiPriority w:val="99"/>
    <w:semiHidden/>
    <w:unhideWhenUsed/>
    <w:rsid w:val="00AC1CBF"/>
    <w:rPr>
      <w:rFonts w:cs="Times New Roman"/>
      <w:sz w:val="20"/>
      <w:szCs w:val="20"/>
    </w:rPr>
  </w:style>
  <w:style w:type="character" w:customStyle="1" w:styleId="TekstprzypisukocowegoZnak">
    <w:name w:val="Tekst przypisu końcowego Znak"/>
    <w:link w:val="Tekstprzypisukocowego"/>
    <w:uiPriority w:val="99"/>
    <w:semiHidden/>
    <w:rsid w:val="00AC1CBF"/>
    <w:rPr>
      <w:rFonts w:ascii="Open Sans" w:eastAsia="Open Sans" w:hAnsi="Open Sans" w:cs="Open Sans"/>
    </w:rPr>
  </w:style>
  <w:style w:type="character" w:styleId="Odwoanieprzypisukocowego">
    <w:name w:val="endnote reference"/>
    <w:uiPriority w:val="99"/>
    <w:semiHidden/>
    <w:unhideWhenUsed/>
    <w:rsid w:val="00AC1CBF"/>
    <w:rPr>
      <w:vertAlign w:val="superscript"/>
    </w:rPr>
  </w:style>
  <w:style w:type="character" w:customStyle="1" w:styleId="Nagwek2Znak">
    <w:name w:val="Nagłówek 2 Znak"/>
    <w:link w:val="Nagwek2"/>
    <w:uiPriority w:val="99"/>
    <w:semiHidden/>
    <w:rsid w:val="00CF7073"/>
    <w:rPr>
      <w:rFonts w:ascii="Calibri Light" w:eastAsia="Times New Roman" w:hAnsi="Calibri Light" w:cs="Times New Roman"/>
      <w:b/>
      <w:bCs/>
      <w:i/>
      <w:iCs/>
      <w:sz w:val="28"/>
      <w:szCs w:val="28"/>
    </w:rPr>
  </w:style>
  <w:style w:type="character" w:customStyle="1" w:styleId="Nagwek3Znak">
    <w:name w:val="Nagłówek 3 Znak"/>
    <w:link w:val="Nagwek3"/>
    <w:uiPriority w:val="99"/>
    <w:semiHidden/>
    <w:rsid w:val="00332211"/>
    <w:rPr>
      <w:rFonts w:ascii="Calibri Light" w:eastAsia="Times New Roman" w:hAnsi="Calibri Light" w:cs="Times New Roman"/>
      <w:b/>
      <w:bCs/>
      <w:sz w:val="26"/>
      <w:szCs w:val="26"/>
    </w:rPr>
  </w:style>
  <w:style w:type="character" w:customStyle="1" w:styleId="Nagwek4Znak">
    <w:name w:val="Nagłówek 4 Znak"/>
    <w:link w:val="Nagwek4"/>
    <w:uiPriority w:val="99"/>
    <w:semiHidden/>
    <w:rsid w:val="00332211"/>
    <w:rPr>
      <w:rFonts w:ascii="Calibri" w:eastAsia="Times New Roman" w:hAnsi="Calibri" w:cs="Times New Roman"/>
      <w:b/>
      <w:bCs/>
      <w:sz w:val="28"/>
      <w:szCs w:val="28"/>
    </w:rPr>
  </w:style>
  <w:style w:type="paragraph" w:styleId="NormalnyWeb">
    <w:name w:val="Normal (Web)"/>
    <w:basedOn w:val="Normalny"/>
    <w:uiPriority w:val="99"/>
    <w:unhideWhenUsed/>
    <w:rsid w:val="00DF7102"/>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pl-PL" w:eastAsia="pl-P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43782C"/>
    <w:pPr>
      <w:spacing w:after="200" w:line="276" w:lineRule="auto"/>
    </w:pPr>
    <w:rPr>
      <w:rFonts w:ascii="Open Sans" w:eastAsia="Open Sans" w:hAnsi="Open Sans" w:cs="Open Sans"/>
      <w:sz w:val="24"/>
      <w:szCs w:val="22"/>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Cambria" w:eastAsia="Times New Roman" w:hAnsi="Cambria" w:cs="Times New Roman"/>
      <w:b/>
      <w:bCs/>
      <w:color w:val="365F91"/>
      <w:kern w:val="1"/>
      <w:sz w:val="28"/>
      <w:szCs w:val="28"/>
      <w:lang w:eastAsia="ar-SA"/>
    </w:rPr>
  </w:style>
  <w:style w:type="paragraph" w:styleId="Nagwek2">
    <w:name w:val="heading 2"/>
    <w:basedOn w:val="Normalny"/>
    <w:next w:val="Normalny"/>
    <w:link w:val="Nagwek2Znak"/>
    <w:uiPriority w:val="99"/>
    <w:semiHidden/>
    <w:unhideWhenUsed/>
    <w:qFormat/>
    <w:rsid w:val="00CF7073"/>
    <w:pPr>
      <w:keepNext/>
      <w:spacing w:before="240" w:after="60"/>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iPriority w:val="99"/>
    <w:semiHidden/>
    <w:unhideWhenUsed/>
    <w:qFormat/>
    <w:rsid w:val="00332211"/>
    <w:pPr>
      <w:keepNext/>
      <w:spacing w:before="240" w:after="60"/>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uiPriority w:val="99"/>
    <w:semiHidden/>
    <w:unhideWhenUsed/>
    <w:qFormat/>
    <w:rsid w:val="00332211"/>
    <w:pPr>
      <w:keepNext/>
      <w:spacing w:before="240" w:after="60"/>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 w:val="20"/>
      <w:szCs w:val="20"/>
      <w:lang w:eastAsia="ar-SA"/>
    </w:rPr>
  </w:style>
  <w:style w:type="character" w:customStyle="1" w:styleId="NagwekZnak">
    <w:name w:val="Nagłówek Znak"/>
    <w:link w:val="Nagwek"/>
    <w:uiPriority w:val="99"/>
    <w:semiHidden/>
    <w:rsid w:val="00060076"/>
    <w:rPr>
      <w:rFonts w:eastAsia="Times New Roman"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 w:val="20"/>
      <w:szCs w:val="20"/>
      <w:lang w:eastAsia="ar-SA"/>
    </w:rPr>
  </w:style>
  <w:style w:type="character" w:customStyle="1" w:styleId="StopkaZnak">
    <w:name w:val="Stopka Znak"/>
    <w:link w:val="Stopka"/>
    <w:uiPriority w:val="99"/>
    <w:semiHidden/>
    <w:rsid w:val="00060076"/>
    <w:rPr>
      <w:rFonts w:eastAsia="Times New Roman"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imes New Roman"/>
      <w:kern w:val="1"/>
      <w:sz w:val="16"/>
      <w:szCs w:val="16"/>
      <w:lang w:eastAsia="ar-SA"/>
    </w:rPr>
  </w:style>
  <w:style w:type="character" w:customStyle="1" w:styleId="TekstdymkaZnak">
    <w:name w:val="Tekst dymka Znak"/>
    <w:link w:val="Tekstdymka"/>
    <w:uiPriority w:val="99"/>
    <w:semiHidden/>
    <w:rsid w:val="004C3F97"/>
    <w:rPr>
      <w:rFonts w:ascii="Tahoma" w:eastAsia="Times New Roman"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line="360" w:lineRule="auto"/>
      <w:ind w:firstLine="510"/>
      <w:jc w:val="both"/>
    </w:pPr>
    <w:rPr>
      <w:rFonts w:cs="Arial"/>
      <w:sz w:val="24"/>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link w:val="Nagwek1"/>
    <w:uiPriority w:val="99"/>
    <w:semiHidden/>
    <w:rsid w:val="004504C0"/>
    <w:rPr>
      <w:rFonts w:ascii="Cambria" w:eastAsia="Times New Roman" w:hAnsi="Cambria" w:cs="Times New Roman"/>
      <w:b/>
      <w:bCs/>
      <w:color w:val="365F91"/>
      <w:kern w:val="1"/>
      <w:sz w:val="28"/>
      <w:szCs w:val="28"/>
      <w:lang w:eastAsia="ar-SA"/>
    </w:rPr>
  </w:style>
  <w:style w:type="paragraph" w:styleId="Bezodstpw">
    <w:name w:val="No Spacing"/>
    <w:uiPriority w:val="99"/>
    <w:semiHidden/>
    <w:rsid w:val="004C3F97"/>
    <w:pPr>
      <w:widowControl w:val="0"/>
      <w:suppressAutoHyphens/>
      <w:spacing w:line="360" w:lineRule="auto"/>
    </w:pPr>
    <w:rPr>
      <w:kern w:val="1"/>
      <w:sz w:val="24"/>
      <w:szCs w:val="24"/>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9"/>
    <w:qFormat/>
    <w:rsid w:val="006A748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99"/>
    <w:qFormat/>
    <w:rsid w:val="006A748A"/>
    <w:pPr>
      <w:keepNext/>
      <w:suppressAutoHyphens/>
      <w:spacing w:after="120" w:line="360" w:lineRule="auto"/>
      <w:jc w:val="center"/>
    </w:pPr>
    <w:rPr>
      <w:b/>
      <w:bCs/>
      <w:caps/>
      <w:spacing w:val="54"/>
      <w:kern w:val="24"/>
      <w:sz w:val="24"/>
      <w:szCs w:val="24"/>
    </w:rPr>
  </w:style>
  <w:style w:type="paragraph" w:customStyle="1" w:styleId="USTustnpkodeksu">
    <w:name w:val="UST(§) – ust. (§ np. kodeksu)"/>
    <w:basedOn w:val="ARTartustawynprozporzdzenia"/>
    <w:uiPriority w:val="99"/>
    <w:qFormat/>
    <w:rsid w:val="006A748A"/>
    <w:pPr>
      <w:spacing w:before="0"/>
    </w:pPr>
    <w:rPr>
      <w:bCs/>
    </w:rPr>
  </w:style>
  <w:style w:type="paragraph" w:customStyle="1" w:styleId="PKTpunkt">
    <w:name w:val="PKT – punkt"/>
    <w:uiPriority w:val="99"/>
    <w:qFormat/>
    <w:rsid w:val="005147E8"/>
    <w:pPr>
      <w:spacing w:line="360" w:lineRule="auto"/>
      <w:ind w:left="510" w:hanging="510"/>
      <w:jc w:val="both"/>
    </w:pPr>
    <w:rPr>
      <w:rFonts w:cs="Arial"/>
      <w:bCs/>
      <w:sz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99"/>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99"/>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line="360" w:lineRule="auto"/>
      <w:jc w:val="center"/>
    </w:pPr>
    <w:rPr>
      <w:b/>
      <w:bCs/>
      <w:sz w:val="24"/>
      <w:szCs w:val="24"/>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spacing w:line="360" w:lineRule="auto"/>
      <w:ind w:left="510"/>
      <w:jc w:val="center"/>
    </w:pPr>
    <w:rPr>
      <w:rFonts w:cs="Arial"/>
      <w:bCs/>
      <w:kern w:val="24"/>
      <w:sz w:val="24"/>
      <w:szCs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 w:val="20"/>
      <w:szCs w:val="20"/>
    </w:rPr>
  </w:style>
  <w:style w:type="character" w:customStyle="1" w:styleId="TekstprzypisudolnegoZnak">
    <w:name w:val="Tekst przypisu dolnego Znak"/>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 w:val="20"/>
      <w:szCs w:val="20"/>
    </w:rPr>
  </w:style>
  <w:style w:type="character" w:customStyle="1" w:styleId="TekstkomentarzaZnak">
    <w:name w:val="Tekst komentarza Znak"/>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99"/>
    <w:qFormat/>
    <w:rsid w:val="006A748A"/>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99"/>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uiPriority w:val="99"/>
    <w:qFormat/>
    <w:rsid w:val="00A12520"/>
    <w:rPr>
      <w:b w:val="0"/>
      <w:i w:val="0"/>
      <w:vanish w:val="0"/>
      <w:spacing w:val="0"/>
      <w:vertAlign w:val="superscript"/>
    </w:rPr>
  </w:style>
  <w:style w:type="character" w:customStyle="1" w:styleId="IDindeksdolny">
    <w:name w:val="_ID_ – indeks dolny"/>
    <w:uiPriority w:val="3"/>
    <w:qFormat/>
    <w:rsid w:val="00591124"/>
    <w:rPr>
      <w:b w:val="0"/>
      <w:i w:val="0"/>
      <w:vanish w:val="0"/>
      <w:spacing w:val="0"/>
      <w:vertAlign w:val="subscript"/>
    </w:rPr>
  </w:style>
  <w:style w:type="character" w:customStyle="1" w:styleId="IDPindeksdolnyipogrubienie">
    <w:name w:val="_ID_P_ – indeks dolny i pogrubienie"/>
    <w:uiPriority w:val="3"/>
    <w:qFormat/>
    <w:rsid w:val="00591124"/>
    <w:rPr>
      <w:b/>
      <w:vanish w:val="0"/>
      <w:spacing w:val="0"/>
      <w:vertAlign w:val="subscript"/>
    </w:rPr>
  </w:style>
  <w:style w:type="character" w:customStyle="1" w:styleId="IDKindeksdolnyikursywa">
    <w:name w:val="_ID_K_ – indeks dolny i kursywa"/>
    <w:uiPriority w:val="3"/>
    <w:qFormat/>
    <w:rsid w:val="00591124"/>
    <w:rPr>
      <w:i/>
      <w:vanish w:val="0"/>
      <w:spacing w:val="0"/>
      <w:vertAlign w:val="subscript"/>
    </w:rPr>
  </w:style>
  <w:style w:type="character" w:customStyle="1" w:styleId="IGPindeksgrnyipogrubienie">
    <w:name w:val="_IG_P_ – indeks górny i pogrubienie"/>
    <w:uiPriority w:val="2"/>
    <w:qFormat/>
    <w:rsid w:val="00A12520"/>
    <w:rPr>
      <w:b/>
      <w:vanish w:val="0"/>
      <w:spacing w:val="0"/>
      <w:vertAlign w:val="superscript"/>
    </w:rPr>
  </w:style>
  <w:style w:type="character" w:customStyle="1" w:styleId="IGKindeksgrnyikursywa">
    <w:name w:val="_IG_K_ – indeks górny i kursywa"/>
    <w:uiPriority w:val="2"/>
    <w:qFormat/>
    <w:rsid w:val="00A12520"/>
    <w:rPr>
      <w:i/>
      <w:vanish w:val="0"/>
      <w:spacing w:val="0"/>
      <w:vertAlign w:val="superscript"/>
    </w:rPr>
  </w:style>
  <w:style w:type="character" w:customStyle="1" w:styleId="IGPKindeksgrnyipogrubieniekursywa">
    <w:name w:val="_IG_P_K_ – indeks górny i pogrubienie kursywa"/>
    <w:uiPriority w:val="2"/>
    <w:qFormat/>
    <w:rsid w:val="00591124"/>
    <w:rPr>
      <w:b/>
      <w:i/>
      <w:vanish w:val="0"/>
      <w:spacing w:val="0"/>
      <w:vertAlign w:val="superscript"/>
    </w:rPr>
  </w:style>
  <w:style w:type="character" w:customStyle="1" w:styleId="IDPKindeksdolnyipogrugieniekursywa">
    <w:name w:val="_ID_P_K_ – indeks dolny i pogrugienie kursywa"/>
    <w:uiPriority w:val="3"/>
    <w:qFormat/>
    <w:rsid w:val="00591124"/>
    <w:rPr>
      <w:b/>
      <w:i/>
      <w:vanish w:val="0"/>
      <w:spacing w:val="0"/>
      <w:vertAlign w:val="subscript"/>
    </w:rPr>
  </w:style>
  <w:style w:type="character" w:customStyle="1" w:styleId="Ppogrubienie">
    <w:name w:val="_P_ – pogrubienie"/>
    <w:uiPriority w:val="1"/>
    <w:qFormat/>
    <w:rsid w:val="006A748A"/>
    <w:rPr>
      <w:b/>
    </w:rPr>
  </w:style>
  <w:style w:type="character" w:customStyle="1" w:styleId="Kkursywa">
    <w:name w:val="_K_ – kursywa"/>
    <w:uiPriority w:val="1"/>
    <w:qFormat/>
    <w:rsid w:val="006A748A"/>
    <w:rPr>
      <w:i/>
    </w:rPr>
  </w:style>
  <w:style w:type="character" w:customStyle="1" w:styleId="PKpogrubieniekursywa">
    <w:name w:val="_P_K_ – pogrubienie kursywa"/>
    <w:uiPriority w:val="1"/>
    <w:qFormat/>
    <w:rsid w:val="006A748A"/>
    <w:rPr>
      <w:b/>
      <w:i/>
    </w:rPr>
  </w:style>
  <w:style w:type="character" w:customStyle="1" w:styleId="TEKSTOZNACZONYWDOKUMENCIERDOWYMJAKOUKRYTY">
    <w:name w:val="_TEKST_OZNACZONY_W_DOKUMENCIE_ŹRÓDŁOWYM_JAKO_UKRYTY_"/>
    <w:uiPriority w:val="4"/>
    <w:unhideWhenUsed/>
    <w:qFormat/>
    <w:rsid w:val="009D55AA"/>
    <w:rPr>
      <w:vanish w:val="0"/>
      <w:color w:val="FF0000"/>
      <w:u w:val="single" w:color="FF0000"/>
    </w:rPr>
  </w:style>
  <w:style w:type="character" w:customStyle="1" w:styleId="BEZWERSALIKW">
    <w:name w:val="_BEZ_WERSALIKÓW_"/>
    <w:uiPriority w:val="4"/>
    <w:qFormat/>
    <w:rsid w:val="00390E89"/>
    <w:rPr>
      <w:caps/>
    </w:rPr>
  </w:style>
  <w:style w:type="character" w:customStyle="1" w:styleId="IIGPindeksgrnyindeksugrnegoipogrubienie">
    <w:name w:val="_IIG_P_ – indeks górny indeksu górnego i pogrubienie"/>
    <w:uiPriority w:val="3"/>
    <w:qFormat/>
    <w:rsid w:val="00A12520"/>
    <w:rPr>
      <w:b/>
      <w:vanish w:val="0"/>
      <w:spacing w:val="0"/>
      <w:position w:val="6"/>
      <w:vertAlign w:val="superscript"/>
    </w:rPr>
  </w:style>
  <w:style w:type="character" w:customStyle="1" w:styleId="IIGindeksgrnyindeksugrnego">
    <w:name w:val="_IIG_ – indeks górny indeksu górnego"/>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99"/>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341A6A"/>
    <w:rPr>
      <w:color w:val="808080"/>
    </w:rPr>
  </w:style>
  <w:style w:type="paragraph" w:styleId="Akapitzlist">
    <w:name w:val="List Paragraph"/>
    <w:basedOn w:val="Normalny"/>
    <w:uiPriority w:val="99"/>
    <w:qFormat/>
    <w:rsid w:val="00031C9D"/>
    <w:pPr>
      <w:spacing w:after="0" w:line="240" w:lineRule="auto"/>
      <w:ind w:left="720"/>
      <w:contextualSpacing/>
    </w:pPr>
    <w:rPr>
      <w:rFonts w:ascii="Times New Roman" w:eastAsia="Times New Roman" w:hAnsi="Times New Roman" w:cs="Times New Roman"/>
      <w:sz w:val="20"/>
      <w:szCs w:val="20"/>
    </w:rPr>
  </w:style>
  <w:style w:type="paragraph" w:styleId="Tytu">
    <w:name w:val="Title"/>
    <w:basedOn w:val="Normalny"/>
    <w:next w:val="Normalny"/>
    <w:link w:val="TytuZnak"/>
    <w:uiPriority w:val="99"/>
    <w:rsid w:val="005F3D25"/>
    <w:pPr>
      <w:spacing w:after="0" w:line="240" w:lineRule="auto"/>
      <w:contextualSpacing/>
    </w:pPr>
    <w:rPr>
      <w:rFonts w:ascii="Cambria" w:eastAsia="Times New Roman" w:hAnsi="Cambria" w:cs="Times New Roman"/>
      <w:spacing w:val="-10"/>
      <w:kern w:val="28"/>
      <w:sz w:val="56"/>
      <w:szCs w:val="56"/>
    </w:rPr>
  </w:style>
  <w:style w:type="character" w:customStyle="1" w:styleId="TytuZnak">
    <w:name w:val="Tytuł Znak"/>
    <w:link w:val="Tytu"/>
    <w:uiPriority w:val="99"/>
    <w:rsid w:val="005F3D25"/>
    <w:rPr>
      <w:rFonts w:ascii="Cambria" w:eastAsia="Times New Roman" w:hAnsi="Cambria" w:cs="Times New Roman"/>
      <w:spacing w:val="-10"/>
      <w:kern w:val="28"/>
      <w:sz w:val="56"/>
      <w:szCs w:val="56"/>
    </w:rPr>
  </w:style>
  <w:style w:type="character" w:styleId="Uwydatnienie">
    <w:name w:val="Emphasis"/>
    <w:uiPriority w:val="20"/>
    <w:qFormat/>
    <w:rsid w:val="00D34430"/>
    <w:rPr>
      <w:i/>
      <w:iCs/>
    </w:rPr>
  </w:style>
  <w:style w:type="character" w:styleId="Tytuksiki">
    <w:name w:val="Book Title"/>
    <w:uiPriority w:val="99"/>
    <w:rsid w:val="000E21A6"/>
    <w:rPr>
      <w:b/>
      <w:bCs/>
      <w:i/>
      <w:iCs/>
      <w:spacing w:val="5"/>
    </w:rPr>
  </w:style>
  <w:style w:type="character" w:styleId="Pogrubienie">
    <w:name w:val="Strong"/>
    <w:uiPriority w:val="99"/>
    <w:qFormat/>
    <w:rsid w:val="000E21A6"/>
    <w:rPr>
      <w:b/>
      <w:bCs/>
    </w:rPr>
  </w:style>
  <w:style w:type="character" w:styleId="Odwoanieintensywne">
    <w:name w:val="Intense Reference"/>
    <w:uiPriority w:val="99"/>
    <w:rsid w:val="000E21A6"/>
    <w:rPr>
      <w:b/>
      <w:bCs/>
      <w:smallCaps/>
      <w:color w:val="4F81BD"/>
      <w:spacing w:val="5"/>
    </w:rPr>
  </w:style>
  <w:style w:type="character" w:styleId="Odwoaniedelikatne">
    <w:name w:val="Subtle Reference"/>
    <w:uiPriority w:val="99"/>
    <w:rsid w:val="000E21A6"/>
    <w:rPr>
      <w:smallCaps/>
      <w:color w:val="5A5A5A"/>
    </w:rPr>
  </w:style>
  <w:style w:type="paragraph" w:styleId="Poprawka">
    <w:name w:val="Revision"/>
    <w:hidden/>
    <w:uiPriority w:val="99"/>
    <w:semiHidden/>
    <w:rsid w:val="00FA7C1A"/>
    <w:rPr>
      <w:rFonts w:ascii="Open Sans" w:eastAsia="Open Sans" w:hAnsi="Open Sans" w:cs="Open Sans"/>
      <w:sz w:val="24"/>
      <w:szCs w:val="22"/>
    </w:rPr>
  </w:style>
  <w:style w:type="paragraph" w:styleId="Tekstprzypisukocowego">
    <w:name w:val="endnote text"/>
    <w:basedOn w:val="Normalny"/>
    <w:link w:val="TekstprzypisukocowegoZnak"/>
    <w:uiPriority w:val="99"/>
    <w:semiHidden/>
    <w:unhideWhenUsed/>
    <w:rsid w:val="00AC1CBF"/>
    <w:rPr>
      <w:rFonts w:cs="Times New Roman"/>
      <w:sz w:val="20"/>
      <w:szCs w:val="20"/>
    </w:rPr>
  </w:style>
  <w:style w:type="character" w:customStyle="1" w:styleId="TekstprzypisukocowegoZnak">
    <w:name w:val="Tekst przypisu końcowego Znak"/>
    <w:link w:val="Tekstprzypisukocowego"/>
    <w:uiPriority w:val="99"/>
    <w:semiHidden/>
    <w:rsid w:val="00AC1CBF"/>
    <w:rPr>
      <w:rFonts w:ascii="Open Sans" w:eastAsia="Open Sans" w:hAnsi="Open Sans" w:cs="Open Sans"/>
    </w:rPr>
  </w:style>
  <w:style w:type="character" w:styleId="Odwoanieprzypisukocowego">
    <w:name w:val="endnote reference"/>
    <w:uiPriority w:val="99"/>
    <w:semiHidden/>
    <w:unhideWhenUsed/>
    <w:rsid w:val="00AC1CBF"/>
    <w:rPr>
      <w:vertAlign w:val="superscript"/>
    </w:rPr>
  </w:style>
  <w:style w:type="character" w:customStyle="1" w:styleId="Nagwek2Znak">
    <w:name w:val="Nagłówek 2 Znak"/>
    <w:link w:val="Nagwek2"/>
    <w:uiPriority w:val="99"/>
    <w:semiHidden/>
    <w:rsid w:val="00CF7073"/>
    <w:rPr>
      <w:rFonts w:ascii="Calibri Light" w:eastAsia="Times New Roman" w:hAnsi="Calibri Light" w:cs="Times New Roman"/>
      <w:b/>
      <w:bCs/>
      <w:i/>
      <w:iCs/>
      <w:sz w:val="28"/>
      <w:szCs w:val="28"/>
    </w:rPr>
  </w:style>
  <w:style w:type="character" w:customStyle="1" w:styleId="Nagwek3Znak">
    <w:name w:val="Nagłówek 3 Znak"/>
    <w:link w:val="Nagwek3"/>
    <w:uiPriority w:val="99"/>
    <w:semiHidden/>
    <w:rsid w:val="00332211"/>
    <w:rPr>
      <w:rFonts w:ascii="Calibri Light" w:eastAsia="Times New Roman" w:hAnsi="Calibri Light" w:cs="Times New Roman"/>
      <w:b/>
      <w:bCs/>
      <w:sz w:val="26"/>
      <w:szCs w:val="26"/>
    </w:rPr>
  </w:style>
  <w:style w:type="character" w:customStyle="1" w:styleId="Nagwek4Znak">
    <w:name w:val="Nagłówek 4 Znak"/>
    <w:link w:val="Nagwek4"/>
    <w:uiPriority w:val="99"/>
    <w:semiHidden/>
    <w:rsid w:val="00332211"/>
    <w:rPr>
      <w:rFonts w:ascii="Calibri" w:eastAsia="Times New Roman" w:hAnsi="Calibri" w:cs="Times New Roman"/>
      <w:b/>
      <w:bCs/>
      <w:sz w:val="28"/>
      <w:szCs w:val="28"/>
    </w:rPr>
  </w:style>
  <w:style w:type="paragraph" w:styleId="NormalnyWeb">
    <w:name w:val="Normal (Web)"/>
    <w:basedOn w:val="Normalny"/>
    <w:uiPriority w:val="99"/>
    <w:unhideWhenUsed/>
    <w:rsid w:val="00DF710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3619">
      <w:bodyDiv w:val="1"/>
      <w:marLeft w:val="0"/>
      <w:marRight w:val="0"/>
      <w:marTop w:val="0"/>
      <w:marBottom w:val="0"/>
      <w:divBdr>
        <w:top w:val="none" w:sz="0" w:space="0" w:color="auto"/>
        <w:left w:val="none" w:sz="0" w:space="0" w:color="auto"/>
        <w:bottom w:val="none" w:sz="0" w:space="0" w:color="auto"/>
        <w:right w:val="none" w:sz="0" w:space="0" w:color="auto"/>
      </w:divBdr>
    </w:div>
    <w:div w:id="386147270">
      <w:bodyDiv w:val="1"/>
      <w:marLeft w:val="0"/>
      <w:marRight w:val="0"/>
      <w:marTop w:val="0"/>
      <w:marBottom w:val="0"/>
      <w:divBdr>
        <w:top w:val="none" w:sz="0" w:space="0" w:color="auto"/>
        <w:left w:val="none" w:sz="0" w:space="0" w:color="auto"/>
        <w:bottom w:val="none" w:sz="0" w:space="0" w:color="auto"/>
        <w:right w:val="none" w:sz="0" w:space="0" w:color="auto"/>
      </w:divBdr>
    </w:div>
    <w:div w:id="420377093">
      <w:bodyDiv w:val="1"/>
      <w:marLeft w:val="0"/>
      <w:marRight w:val="0"/>
      <w:marTop w:val="0"/>
      <w:marBottom w:val="0"/>
      <w:divBdr>
        <w:top w:val="none" w:sz="0" w:space="0" w:color="auto"/>
        <w:left w:val="none" w:sz="0" w:space="0" w:color="auto"/>
        <w:bottom w:val="none" w:sz="0" w:space="0" w:color="auto"/>
        <w:right w:val="none" w:sz="0" w:space="0" w:color="auto"/>
      </w:divBdr>
    </w:div>
    <w:div w:id="596409772">
      <w:bodyDiv w:val="1"/>
      <w:marLeft w:val="0"/>
      <w:marRight w:val="0"/>
      <w:marTop w:val="0"/>
      <w:marBottom w:val="0"/>
      <w:divBdr>
        <w:top w:val="none" w:sz="0" w:space="0" w:color="auto"/>
        <w:left w:val="none" w:sz="0" w:space="0" w:color="auto"/>
        <w:bottom w:val="none" w:sz="0" w:space="0" w:color="auto"/>
        <w:right w:val="none" w:sz="0" w:space="0" w:color="auto"/>
      </w:divBdr>
    </w:div>
    <w:div w:id="642007305">
      <w:bodyDiv w:val="1"/>
      <w:marLeft w:val="0"/>
      <w:marRight w:val="0"/>
      <w:marTop w:val="0"/>
      <w:marBottom w:val="0"/>
      <w:divBdr>
        <w:top w:val="none" w:sz="0" w:space="0" w:color="auto"/>
        <w:left w:val="none" w:sz="0" w:space="0" w:color="auto"/>
        <w:bottom w:val="none" w:sz="0" w:space="0" w:color="auto"/>
        <w:right w:val="none" w:sz="0" w:space="0" w:color="auto"/>
      </w:divBdr>
    </w:div>
    <w:div w:id="666907957">
      <w:bodyDiv w:val="1"/>
      <w:marLeft w:val="0"/>
      <w:marRight w:val="0"/>
      <w:marTop w:val="0"/>
      <w:marBottom w:val="0"/>
      <w:divBdr>
        <w:top w:val="none" w:sz="0" w:space="0" w:color="auto"/>
        <w:left w:val="none" w:sz="0" w:space="0" w:color="auto"/>
        <w:bottom w:val="none" w:sz="0" w:space="0" w:color="auto"/>
        <w:right w:val="none" w:sz="0" w:space="0" w:color="auto"/>
      </w:divBdr>
    </w:div>
    <w:div w:id="809980006">
      <w:bodyDiv w:val="1"/>
      <w:marLeft w:val="0"/>
      <w:marRight w:val="0"/>
      <w:marTop w:val="0"/>
      <w:marBottom w:val="0"/>
      <w:divBdr>
        <w:top w:val="none" w:sz="0" w:space="0" w:color="auto"/>
        <w:left w:val="none" w:sz="0" w:space="0" w:color="auto"/>
        <w:bottom w:val="none" w:sz="0" w:space="0" w:color="auto"/>
        <w:right w:val="none" w:sz="0" w:space="0" w:color="auto"/>
      </w:divBdr>
    </w:div>
    <w:div w:id="1088159831">
      <w:bodyDiv w:val="1"/>
      <w:marLeft w:val="0"/>
      <w:marRight w:val="0"/>
      <w:marTop w:val="0"/>
      <w:marBottom w:val="0"/>
      <w:divBdr>
        <w:top w:val="none" w:sz="0" w:space="0" w:color="auto"/>
        <w:left w:val="none" w:sz="0" w:space="0" w:color="auto"/>
        <w:bottom w:val="none" w:sz="0" w:space="0" w:color="auto"/>
        <w:right w:val="none" w:sz="0" w:space="0" w:color="auto"/>
      </w:divBdr>
    </w:div>
    <w:div w:id="1364749750">
      <w:bodyDiv w:val="1"/>
      <w:marLeft w:val="0"/>
      <w:marRight w:val="0"/>
      <w:marTop w:val="0"/>
      <w:marBottom w:val="0"/>
      <w:divBdr>
        <w:top w:val="none" w:sz="0" w:space="0" w:color="auto"/>
        <w:left w:val="none" w:sz="0" w:space="0" w:color="auto"/>
        <w:bottom w:val="none" w:sz="0" w:space="0" w:color="auto"/>
        <w:right w:val="none" w:sz="0" w:space="0" w:color="auto"/>
      </w:divBdr>
      <w:divsChild>
        <w:div w:id="1585845332">
          <w:marLeft w:val="0"/>
          <w:marRight w:val="0"/>
          <w:marTop w:val="0"/>
          <w:marBottom w:val="0"/>
          <w:divBdr>
            <w:top w:val="none" w:sz="0" w:space="0" w:color="auto"/>
            <w:left w:val="none" w:sz="0" w:space="0" w:color="auto"/>
            <w:bottom w:val="none" w:sz="0" w:space="0" w:color="auto"/>
            <w:right w:val="none" w:sz="0" w:space="0" w:color="auto"/>
          </w:divBdr>
        </w:div>
        <w:div w:id="1992522035">
          <w:marLeft w:val="0"/>
          <w:marRight w:val="0"/>
          <w:marTop w:val="0"/>
          <w:marBottom w:val="0"/>
          <w:divBdr>
            <w:top w:val="none" w:sz="0" w:space="0" w:color="auto"/>
            <w:left w:val="none" w:sz="0" w:space="0" w:color="auto"/>
            <w:bottom w:val="none" w:sz="0" w:space="0" w:color="auto"/>
            <w:right w:val="none" w:sz="0" w:space="0" w:color="auto"/>
          </w:divBdr>
        </w:div>
      </w:divsChild>
    </w:div>
    <w:div w:id="1815490322">
      <w:bodyDiv w:val="1"/>
      <w:marLeft w:val="0"/>
      <w:marRight w:val="0"/>
      <w:marTop w:val="0"/>
      <w:marBottom w:val="0"/>
      <w:divBdr>
        <w:top w:val="none" w:sz="0" w:space="0" w:color="auto"/>
        <w:left w:val="none" w:sz="0" w:space="0" w:color="auto"/>
        <w:bottom w:val="none" w:sz="0" w:space="0" w:color="auto"/>
        <w:right w:val="none" w:sz="0" w:space="0" w:color="auto"/>
      </w:divBdr>
    </w:div>
    <w:div w:id="1865361227">
      <w:bodyDiv w:val="1"/>
      <w:marLeft w:val="0"/>
      <w:marRight w:val="0"/>
      <w:marTop w:val="0"/>
      <w:marBottom w:val="0"/>
      <w:divBdr>
        <w:top w:val="none" w:sz="0" w:space="0" w:color="auto"/>
        <w:left w:val="none" w:sz="0" w:space="0" w:color="auto"/>
        <w:bottom w:val="none" w:sz="0" w:space="0" w:color="auto"/>
        <w:right w:val="none" w:sz="0" w:space="0" w:color="auto"/>
      </w:divBdr>
    </w:div>
    <w:div w:id="1891765600">
      <w:bodyDiv w:val="1"/>
      <w:marLeft w:val="0"/>
      <w:marRight w:val="0"/>
      <w:marTop w:val="0"/>
      <w:marBottom w:val="0"/>
      <w:divBdr>
        <w:top w:val="none" w:sz="0" w:space="0" w:color="auto"/>
        <w:left w:val="none" w:sz="0" w:space="0" w:color="auto"/>
        <w:bottom w:val="none" w:sz="0" w:space="0" w:color="auto"/>
        <w:right w:val="none" w:sz="0" w:space="0" w:color="auto"/>
      </w:divBdr>
    </w:div>
    <w:div w:id="203930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olodziejek\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45F553-09EF-4F8A-93E9-D0EE5EA6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26</Pages>
  <Words>5852</Words>
  <Characters>35117</Characters>
  <Application>Microsoft Office Word</Application>
  <DocSecurity>0</DocSecurity>
  <Lines>292</Lines>
  <Paragraphs>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40888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d.poplawska</dc:creator>
  <cp:lastModifiedBy>NIL_KM</cp:lastModifiedBy>
  <cp:revision>2</cp:revision>
  <cp:lastPrinted>2016-08-17T09:25:00Z</cp:lastPrinted>
  <dcterms:created xsi:type="dcterms:W3CDTF">2016-12-05T16:35:00Z</dcterms:created>
  <dcterms:modified xsi:type="dcterms:W3CDTF">2016-12-05T16:35:00Z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