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1" w:rsidRDefault="00905451" w:rsidP="00905451">
      <w:pPr>
        <w:pStyle w:val="ARTartustawynprozporzdzenia"/>
        <w:tabs>
          <w:tab w:val="left" w:pos="4200"/>
        </w:tabs>
        <w:ind w:firstLine="0"/>
        <w:jc w:val="center"/>
      </w:pPr>
      <w:bookmarkStart w:id="0" w:name="_GoBack"/>
      <w:bookmarkEnd w:id="0"/>
      <w:r>
        <w:t>UZASADNIENIE</w:t>
      </w:r>
    </w:p>
    <w:p w:rsidR="00905451" w:rsidRDefault="00905451" w:rsidP="00905451">
      <w:pPr>
        <w:pStyle w:val="ARTartustawynprozporzdzenia"/>
        <w:tabs>
          <w:tab w:val="left" w:pos="4200"/>
        </w:tabs>
        <w:ind w:firstLine="0"/>
      </w:pPr>
    </w:p>
    <w:p w:rsidR="00905451" w:rsidRDefault="00905451" w:rsidP="00905451">
      <w:pPr>
        <w:pStyle w:val="ARTartustawynprozporzdzenia"/>
        <w:tabs>
          <w:tab w:val="left" w:pos="4200"/>
        </w:tabs>
        <w:ind w:firstLine="0"/>
      </w:pPr>
      <w:r>
        <w:t xml:space="preserve">Zmiany zaproponowane w niniejszym projekcie ustawy o zmianie ustawy o świadczeniach opieki zdrowotnej finansowanych ze środków publicznych oraz </w:t>
      </w:r>
      <w:r w:rsidR="00040D62" w:rsidRPr="00040D62">
        <w:t>niektórych innych ustaw</w:t>
      </w:r>
      <w:r w:rsidR="00040D62">
        <w:t xml:space="preserve">, </w:t>
      </w:r>
      <w:r>
        <w:t xml:space="preserve">zwanej dalej </w:t>
      </w:r>
      <w:r w:rsidRPr="007F75BD">
        <w:t xml:space="preserve">„ustawą nowelizującą”, </w:t>
      </w:r>
      <w:r>
        <w:t>dotyczą oceny celowości inwestycji</w:t>
      </w:r>
      <w:r w:rsidR="00040D62">
        <w:t xml:space="preserve"> </w:t>
      </w:r>
      <w:r>
        <w:t xml:space="preserve">i dedykowanego tejże ocenie narzędzia w postaci Instrumentu Oceny Wniosków Inwestycyjnych w Sektorze Zdrowia, zwanego dalej </w:t>
      </w:r>
      <w:r w:rsidRPr="007F75BD">
        <w:t>„Instrumentem”</w:t>
      </w:r>
      <w:r>
        <w:t>.</w:t>
      </w:r>
    </w:p>
    <w:p w:rsidR="00905451" w:rsidRDefault="00905451" w:rsidP="00905451">
      <w:pPr>
        <w:pStyle w:val="ARTartustawynprozporzdzenia"/>
        <w:tabs>
          <w:tab w:val="left" w:pos="4200"/>
        </w:tabs>
        <w:ind w:firstLine="0"/>
      </w:pPr>
      <w:r>
        <w:t xml:space="preserve">Przedmiotowe propozycje zmian wynikają z blisko rocznego doświadczenia w stosowaniu przepisów ustawy z dnia 27 sierpnia 2004 r. o świadczeniach opieki zdrowotnej finansowanych ze środków publicznych (Dz. U. z 2016 r. poz. 1793, z </w:t>
      </w:r>
      <w:proofErr w:type="spellStart"/>
      <w:r>
        <w:t>późn</w:t>
      </w:r>
      <w:proofErr w:type="spellEnd"/>
      <w:r>
        <w:t xml:space="preserve">. zm.), zwanej dalej </w:t>
      </w:r>
      <w:r w:rsidRPr="007F75BD">
        <w:t>„ustawą nowelizowaną”</w:t>
      </w:r>
      <w:r w:rsidR="00040D62">
        <w:t>,</w:t>
      </w:r>
      <w:r>
        <w:t xml:space="preserve"> w obszarze opiniowania celowości inwestycji, i z jednej strony wychodzą naprzeciw postulatom podmiotów wnioskujących oraz opiniujących wnioski </w:t>
      </w:r>
      <w:r>
        <w:br/>
        <w:t xml:space="preserve">o wydanie opinii o celowości inwestycji, zwane dalej </w:t>
      </w:r>
      <w:r w:rsidRPr="007F75BD">
        <w:t>„wnioskami”</w:t>
      </w:r>
      <w:r>
        <w:t xml:space="preserve"> (w szczególności </w:t>
      </w:r>
      <w:r>
        <w:br/>
        <w:t xml:space="preserve">w zakresie doprecyzowania niektórych niuansów związanych z procesem uzyskiwania tejże opinii), z drugiej zaś są przejawem działań racjonalizatorskich w oparciu o wnioski płynące </w:t>
      </w:r>
      <w:r>
        <w:br/>
        <w:t>z praktycznego stosowania Instrumentu, jak również stosowania dotyczących go przepisów prawa i ich interpretacji.</w:t>
      </w:r>
    </w:p>
    <w:p w:rsidR="00905451" w:rsidRDefault="00905451" w:rsidP="00905451">
      <w:pPr>
        <w:pStyle w:val="ARTartustawynprozporzdzenia"/>
        <w:tabs>
          <w:tab w:val="left" w:pos="4200"/>
        </w:tabs>
        <w:ind w:firstLine="0"/>
      </w:pPr>
      <w:r>
        <w:t>Zmiana zaproponowana w art. 1 pkt 1 lit. a ustawy n</w:t>
      </w:r>
      <w:r w:rsidR="00057458">
        <w:t>owel</w:t>
      </w:r>
      <w:r>
        <w:t>izującej (dot</w:t>
      </w:r>
      <w:r w:rsidR="00C54B59">
        <w:t>yczy</w:t>
      </w:r>
      <w:r>
        <w:t xml:space="preserve"> art. 95d ust. 1 ustawy nowelizowanej), ma na celu poszerzenie zakresu działalności podmiotów leczniczych, determinującego możliwość ubiegania się o wydanie opinii o celowości inwestycji, zwanych dalej </w:t>
      </w:r>
      <w:r w:rsidRPr="007F75BD">
        <w:t>„opiniami”.</w:t>
      </w:r>
      <w:r>
        <w:t xml:space="preserve"> Dotychczas obszar ten był ograniczony do wykonywania działalności leczniczej z zakresu leczenia szpitalnego, ambulatoryjnej opieki specjalistycznej </w:t>
      </w:r>
      <w:r>
        <w:br/>
        <w:t>oraz podstawowej opieki zdrowotnej.</w:t>
      </w:r>
    </w:p>
    <w:p w:rsidR="00905451" w:rsidRDefault="00905451" w:rsidP="00057458">
      <w:pPr>
        <w:pStyle w:val="ARTartustawynprozporzdzenia"/>
        <w:tabs>
          <w:tab w:val="left" w:pos="4200"/>
        </w:tabs>
        <w:ind w:firstLine="0"/>
      </w:pPr>
      <w:r>
        <w:t xml:space="preserve">Zamierzeniem projektodawcy jest, aby spektrum zakresów świadczeń opieki zdrowotnej, </w:t>
      </w:r>
      <w:r>
        <w:br/>
        <w:t xml:space="preserve">od udzielania których </w:t>
      </w:r>
      <w:r w:rsidR="00040D62">
        <w:t xml:space="preserve">jest </w:t>
      </w:r>
      <w:r>
        <w:t xml:space="preserve">uzależniona możliwość złożenia wniosku o wydanie opinii, było możliwie najszersze. </w:t>
      </w:r>
      <w:r w:rsidR="00057458">
        <w:t xml:space="preserve">Projekt przewiduje szeroki zakres podmiotów, które są uprawnione do wystąpienia o opinię </w:t>
      </w:r>
      <w:r w:rsidR="0054384B">
        <w:t>– obejmując podmioty, które zamierzają utworzyć nowy podmiot leczniczy, nowe jednostki lub komórki organizacyjne</w:t>
      </w:r>
      <w:r w:rsidR="0054384B" w:rsidRPr="0054384B">
        <w:t xml:space="preserve"> zakładu lecz</w:t>
      </w:r>
      <w:r w:rsidR="0054384B">
        <w:t>niczego podmiotu leczniczego</w:t>
      </w:r>
      <w:r w:rsidR="00040D62">
        <w:t>,</w:t>
      </w:r>
      <w:r w:rsidR="0054384B">
        <w:t xml:space="preserve"> ale również zamierzających realizować inne inwestycje dotyczące</w:t>
      </w:r>
      <w:r w:rsidR="0054384B" w:rsidRPr="0054384B">
        <w:t xml:space="preserve"> wykonywania działalności leczniczej w zakresie</w:t>
      </w:r>
      <w:r w:rsidR="0054384B">
        <w:t xml:space="preserve"> udzielania świadczeń opieki zdrowotnej.</w:t>
      </w:r>
    </w:p>
    <w:p w:rsidR="0054384B" w:rsidRDefault="00A76A8D" w:rsidP="0054384B">
      <w:pPr>
        <w:pStyle w:val="ARTartustawynprozporzdzenia"/>
        <w:ind w:firstLine="0"/>
      </w:pPr>
      <w:r>
        <w:lastRenderedPageBreak/>
        <w:t>P</w:t>
      </w:r>
      <w:r w:rsidR="00905451" w:rsidRPr="001C36DD">
        <w:t xml:space="preserve">rojektodawca uzasadnia powyższe zamierzenie </w:t>
      </w:r>
      <w:r w:rsidR="00905451">
        <w:t xml:space="preserve">również </w:t>
      </w:r>
      <w:r w:rsidR="00905451" w:rsidRPr="001C36DD">
        <w:t>f</w:t>
      </w:r>
      <w:r>
        <w:t xml:space="preserve">aktem, że od początku 2017 r. </w:t>
      </w:r>
      <w:r w:rsidR="00040D62">
        <w:t xml:space="preserve">są </w:t>
      </w:r>
      <w:r>
        <w:t xml:space="preserve">dostępne </w:t>
      </w:r>
      <w:r w:rsidR="00905451" w:rsidRPr="001C36DD">
        <w:t>mapy potrzeb zdrowotnych obejmujące obszar</w:t>
      </w:r>
      <w:r w:rsidR="00905451">
        <w:t xml:space="preserve"> dodatkowych zakresów świadczeń w stosunku do dotychczasowych trzech zakresów określonych w zmienianym przepisie ustawy nowelizowanej. </w:t>
      </w:r>
      <w:r w:rsidR="00905451" w:rsidRPr="001C36DD">
        <w:t>Jest to o tyleż istotne, że oceny celo</w:t>
      </w:r>
      <w:r>
        <w:t>wości inwestycji dokonuje się w </w:t>
      </w:r>
      <w:r w:rsidR="00905451" w:rsidRPr="001C36DD">
        <w:t>oparciu m.in. o mapy potrzeb zdrowotnych, przy czym p</w:t>
      </w:r>
      <w:r>
        <w:t>ierwotnie, czyli przed dniem 31 </w:t>
      </w:r>
      <w:r w:rsidR="00905451" w:rsidRPr="001C36DD">
        <w:t>grudnia 2016</w:t>
      </w:r>
      <w:r w:rsidR="00040D62">
        <w:t> </w:t>
      </w:r>
      <w:r w:rsidR="00905451" w:rsidRPr="001C36DD">
        <w:t>r., omawiane map</w:t>
      </w:r>
      <w:r w:rsidR="00905451">
        <w:t xml:space="preserve">y zostały opublikowane jedynie </w:t>
      </w:r>
      <w:r w:rsidR="00905451" w:rsidRPr="001C36DD">
        <w:t>dla zakresu leczenia szpitalnego (mapy te opublikowano w dniu 30 kwietnia 2016 r.).</w:t>
      </w:r>
      <w:r>
        <w:t xml:space="preserve"> </w:t>
      </w:r>
      <w:r w:rsidR="00057458">
        <w:t>Zasadnym</w:t>
      </w:r>
      <w:r w:rsidR="00905451" w:rsidRPr="001C36DD">
        <w:t xml:space="preserve"> wydaje się skorelowanie za</w:t>
      </w:r>
      <w:r w:rsidR="00057458">
        <w:t>kresu opiniowania (uprawnienia do wnioskowania o </w:t>
      </w:r>
      <w:r>
        <w:t>uzyskanie opinii o </w:t>
      </w:r>
      <w:r w:rsidR="00905451" w:rsidRPr="001C36DD">
        <w:t>celowości inwestycji) ze stanem faktycznym w p</w:t>
      </w:r>
      <w:r>
        <w:t>rzedmiocie zmapowania potrzeb w </w:t>
      </w:r>
      <w:r w:rsidR="00905451" w:rsidRPr="001C36DD">
        <w:t>zakresie ochrony zdrowia, stąd też propozycja do</w:t>
      </w:r>
      <w:r>
        <w:t>dania możliwości wnioskowania o </w:t>
      </w:r>
      <w:r w:rsidR="00905451" w:rsidRPr="001C36DD">
        <w:t xml:space="preserve">wydanie opinii (a tym samym </w:t>
      </w:r>
      <w:r w:rsidR="0054384B">
        <w:t>uzyskania samej opinii) także w </w:t>
      </w:r>
      <w:r w:rsidR="00905451" w:rsidRPr="001C36DD">
        <w:t>przypadku przedsięwz</w:t>
      </w:r>
      <w:r w:rsidR="00764DA5">
        <w:t xml:space="preserve">ięć inwestycyjnych dotyczących </w:t>
      </w:r>
      <w:r w:rsidR="00905451" w:rsidRPr="001C36DD">
        <w:t>dodatkowych zakresów świadczeń opieki zdrowotnej.</w:t>
      </w:r>
    </w:p>
    <w:p w:rsidR="0054384B" w:rsidRDefault="00905451" w:rsidP="0054384B">
      <w:pPr>
        <w:pStyle w:val="ARTartustawynprozporzdzenia"/>
        <w:ind w:firstLine="0"/>
      </w:pPr>
      <w:r w:rsidRPr="001C36DD">
        <w:t>W kontekście tak przedstawiającego się stanu faktycznego i prawnego, za zasadne uznano podjęcie działań zmierzających do skorelowania uprawnień wynikających z ustawy nowelizowanej z warunkami stawianymi inw</w:t>
      </w:r>
      <w:r>
        <w:t xml:space="preserve">estorom na etapie wnioskowania </w:t>
      </w:r>
      <w:r>
        <w:br/>
      </w:r>
      <w:r w:rsidRPr="001C36DD">
        <w:t>o dofinansowanie. Ma to na celu uniknięcie sytuacji wymagania przedkładania opinii w odniesieniu do inwestycji dotyczących takich zakresów świadczeń, które z punktu widzenia ustawy nowelizowanej, nie mają szansy takiej opinii uzyskać. Innymi słowy, celem projektodawcy jest stawianie wszystkim podmiotom w tej samej sytuacji (starających się o te same środki europejskie) takich samych wymagań formalnych.</w:t>
      </w:r>
    </w:p>
    <w:p w:rsidR="0054384B" w:rsidRDefault="0054384B" w:rsidP="0054384B">
      <w:pPr>
        <w:pStyle w:val="ARTartustawynprozporzdzenia"/>
        <w:ind w:firstLine="0"/>
      </w:pPr>
      <w:r>
        <w:t>Jednocześnie poprzez zmianę ustawy z dnia 15 kwietnia 2011 r.</w:t>
      </w:r>
      <w:r w:rsidR="00A76A8D">
        <w:t xml:space="preserve"> o działalności leczniczej (Dz. </w:t>
      </w:r>
      <w:r>
        <w:t xml:space="preserve">U. z 2016 r. poz. 1638, z </w:t>
      </w:r>
      <w:proofErr w:type="spellStart"/>
      <w:r>
        <w:t>późn</w:t>
      </w:r>
      <w:proofErr w:type="spellEnd"/>
      <w:r>
        <w:t xml:space="preserve">. zm.) wprowadzono obowiązek uzyskania pozytywnej opinii i jej przedłożenia organowi przyznającemu dotacje udzielane </w:t>
      </w:r>
      <w:r w:rsidR="00A76A8D">
        <w:t>z budżetu państwa w </w:t>
      </w:r>
      <w:r w:rsidRPr="0054384B">
        <w:t>trybie art. 115 ust. 4 ustawy o działalności leczniczej. Obejmuje to dotacje ministra, centralny organ administracji rządowej albo wojewodę na remont lub zakup sprzętu</w:t>
      </w:r>
      <w:r>
        <w:t>. T</w:t>
      </w:r>
      <w:r w:rsidR="00A76A8D">
        <w:t>ym </w:t>
      </w:r>
      <w:r>
        <w:t>samym ich uzyskanie tych dotacji będzie możliwe wyłączę po ocenie inwestyc</w:t>
      </w:r>
      <w:r w:rsidR="00A76A8D">
        <w:t>ji z </w:t>
      </w:r>
      <w:r>
        <w:t>wykorzystaniem narzędzia IOWISZ.</w:t>
      </w:r>
      <w:r w:rsidR="00A76A8D">
        <w:t xml:space="preserve"> </w:t>
      </w:r>
      <w:r w:rsidRPr="0054384B">
        <w:t xml:space="preserve">Taki zakres zmian jest powodowany potrzebą zapewnienia konsekwencji działań Ministra Zdrowia i administracji rządowej </w:t>
      </w:r>
      <w:r>
        <w:t>–</w:t>
      </w:r>
      <w:r w:rsidRPr="0054384B">
        <w:t xml:space="preserve"> </w:t>
      </w:r>
      <w:r>
        <w:t xml:space="preserve">dbając </w:t>
      </w:r>
      <w:r w:rsidR="00A76A8D">
        <w:t>o </w:t>
      </w:r>
      <w:r>
        <w:t xml:space="preserve">celowe wykorzystanie środków publicznych organ powinien dotować wyłącznie inwestycje, które były pozytywnie opiniowane w tym zakresie. Pozwoli to na finansowanie inwestycji, które zostały należycie przemyślane i uzasadnione gwarantując odpowiednie dysponowanie środkami publicznymi. </w:t>
      </w:r>
    </w:p>
    <w:p w:rsidR="00F37907" w:rsidRDefault="00905451" w:rsidP="0054384B">
      <w:pPr>
        <w:pStyle w:val="ARTartustawynprozporzdzenia"/>
        <w:ind w:firstLine="0"/>
      </w:pPr>
      <w:r>
        <w:lastRenderedPageBreak/>
        <w:t>Zmiana zaproponowana w art. 1 pkt 1 l</w:t>
      </w:r>
      <w:r w:rsidR="00C54B59">
        <w:t>it. b ustawy nowelizującej (dotyczy</w:t>
      </w:r>
      <w:r>
        <w:t xml:space="preserve"> dodania w art. 95d</w:t>
      </w:r>
      <w:r w:rsidR="00040D62">
        <w:t xml:space="preserve"> </w:t>
      </w:r>
      <w:r w:rsidR="00040D62" w:rsidRPr="00040D62">
        <w:t>ustawy nowelizowanej</w:t>
      </w:r>
      <w:r>
        <w:t xml:space="preserve"> nowego ust. 1a), który będzie pozostawał w ścisłym związku z ust. 1 ww. artykułu ustawy nowelizowanej, poprzez odesłanie do jego treści, zmierza ku doprecyzowaniu, że wnioski dotyczące tych inwestycji, o których mowa w przepisie odesłania, na realizację których podmiot wnioskujący zamierza ubiegać się o dofinansowanie ze środków europejskich, będą mogły być składane w celu wydania opinii o ich celowości niezależnie od wartości takiej inwestycji (wyłączenie progów kosztowych jako warunku „wejścia do opiniowania”).  </w:t>
      </w:r>
    </w:p>
    <w:p w:rsidR="00B11D51" w:rsidRDefault="00B11D51" w:rsidP="00F37907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Zmiana zaproponowana w art. 1 pkt 1 lit. c ustawy nowelizującej (dot</w:t>
      </w:r>
      <w:r w:rsidR="00C54B59">
        <w:rPr>
          <w:rFonts w:ascii="Times" w:eastAsia="Times New Roman" w:hAnsi="Times" w:cs="Arial"/>
          <w:sz w:val="24"/>
        </w:rPr>
        <w:t>yczy</w:t>
      </w:r>
      <w:r>
        <w:rPr>
          <w:rFonts w:ascii="Times" w:eastAsia="Times New Roman" w:hAnsi="Times" w:cs="Arial"/>
          <w:sz w:val="24"/>
        </w:rPr>
        <w:t xml:space="preserve"> dodania w art. 95d </w:t>
      </w:r>
      <w:r w:rsidR="00040D62">
        <w:rPr>
          <w:rFonts w:ascii="Times" w:eastAsia="Times New Roman" w:hAnsi="Times" w:cs="Arial"/>
          <w:sz w:val="24"/>
        </w:rPr>
        <w:t xml:space="preserve">w </w:t>
      </w:r>
      <w:r>
        <w:rPr>
          <w:rFonts w:ascii="Times" w:eastAsia="Times New Roman" w:hAnsi="Times" w:cs="Arial"/>
          <w:sz w:val="24"/>
        </w:rPr>
        <w:t xml:space="preserve">ust. 2 </w:t>
      </w:r>
      <w:r w:rsidR="00040D62" w:rsidRPr="00040D62">
        <w:rPr>
          <w:rFonts w:ascii="Times" w:eastAsia="Times New Roman" w:hAnsi="Times" w:cs="Arial"/>
          <w:sz w:val="24"/>
        </w:rPr>
        <w:t xml:space="preserve">ustawy nowelizowanej </w:t>
      </w:r>
      <w:r>
        <w:rPr>
          <w:rFonts w:ascii="Times" w:eastAsia="Times New Roman" w:hAnsi="Times" w:cs="Arial"/>
          <w:sz w:val="24"/>
        </w:rPr>
        <w:t>dodatkowego pkt 5) ma na celu rozszerzenie katalogu podmiotów, w odniesieniu do których nie wydaje się opinii</w:t>
      </w:r>
      <w:r w:rsidR="00F37907">
        <w:rPr>
          <w:rFonts w:ascii="Times" w:eastAsia="Times New Roman" w:hAnsi="Times" w:cs="Arial"/>
          <w:sz w:val="24"/>
        </w:rPr>
        <w:t>,</w:t>
      </w:r>
      <w:r>
        <w:rPr>
          <w:rFonts w:ascii="Times" w:eastAsia="Times New Roman" w:hAnsi="Times" w:cs="Arial"/>
          <w:sz w:val="24"/>
        </w:rPr>
        <w:t xml:space="preserve"> o </w:t>
      </w:r>
      <w:r w:rsidRPr="00B11D51">
        <w:rPr>
          <w:rFonts w:ascii="Times" w:eastAsia="Times New Roman" w:hAnsi="Times" w:cs="Arial"/>
          <w:sz w:val="24"/>
        </w:rPr>
        <w:t>podmioty</w:t>
      </w:r>
      <w:r w:rsidR="00F37907">
        <w:rPr>
          <w:rFonts w:ascii="Times" w:eastAsia="Times New Roman" w:hAnsi="Times" w:cs="Arial"/>
          <w:sz w:val="24"/>
        </w:rPr>
        <w:t xml:space="preserve"> lecznicze prowadzone</w:t>
      </w:r>
      <w:r w:rsidRPr="00B11D51">
        <w:rPr>
          <w:rFonts w:ascii="Times" w:eastAsia="Times New Roman" w:hAnsi="Times" w:cs="Arial"/>
          <w:sz w:val="24"/>
        </w:rPr>
        <w:t xml:space="preserve"> w formie jednostki budżetowej</w:t>
      </w:r>
      <w:r w:rsidR="00F37907">
        <w:rPr>
          <w:rFonts w:ascii="Times" w:eastAsia="Times New Roman" w:hAnsi="Times" w:cs="Arial"/>
          <w:sz w:val="24"/>
        </w:rPr>
        <w:t xml:space="preserve">, które to jednostki choć spełniają wszystkie warunki wymagane do przekładania opinii, to jednak </w:t>
      </w:r>
      <w:r w:rsidR="00F37907" w:rsidRPr="00F37907">
        <w:rPr>
          <w:rFonts w:ascii="Times" w:eastAsia="Times New Roman" w:hAnsi="Times" w:cs="Arial"/>
          <w:sz w:val="24"/>
        </w:rPr>
        <w:t>wszystkie swoje wydatki</w:t>
      </w:r>
      <w:r w:rsidR="00F37907">
        <w:rPr>
          <w:rFonts w:ascii="Times" w:eastAsia="Times New Roman" w:hAnsi="Times" w:cs="Arial"/>
          <w:sz w:val="24"/>
        </w:rPr>
        <w:t xml:space="preserve"> </w:t>
      </w:r>
      <w:r w:rsidR="00F37907" w:rsidRPr="00F37907">
        <w:rPr>
          <w:rFonts w:ascii="Times" w:eastAsia="Times New Roman" w:hAnsi="Times" w:cs="Arial"/>
          <w:sz w:val="24"/>
        </w:rPr>
        <w:t xml:space="preserve">pokrywają bezpośrednio z budżetu, natomiast wszystkie dochody </w:t>
      </w:r>
      <w:r w:rsidR="00F37907">
        <w:rPr>
          <w:rFonts w:ascii="Times" w:eastAsia="Times New Roman" w:hAnsi="Times" w:cs="Arial"/>
          <w:sz w:val="24"/>
        </w:rPr>
        <w:t>odprowadzają</w:t>
      </w:r>
      <w:r w:rsidR="00F37907" w:rsidRPr="00F37907">
        <w:rPr>
          <w:rFonts w:ascii="Times" w:eastAsia="Times New Roman" w:hAnsi="Times" w:cs="Arial"/>
          <w:sz w:val="24"/>
        </w:rPr>
        <w:t xml:space="preserve"> odpowiednio, albo na rachunek budżetu państwa, albo na rachunek</w:t>
      </w:r>
      <w:r w:rsidR="00F37907">
        <w:rPr>
          <w:rFonts w:ascii="Times" w:eastAsia="Times New Roman" w:hAnsi="Times" w:cs="Arial"/>
          <w:sz w:val="24"/>
        </w:rPr>
        <w:t xml:space="preserve"> </w:t>
      </w:r>
      <w:r w:rsidR="00F37907" w:rsidRPr="00F37907">
        <w:rPr>
          <w:rFonts w:ascii="Times" w:eastAsia="Times New Roman" w:hAnsi="Times" w:cs="Arial"/>
          <w:sz w:val="24"/>
        </w:rPr>
        <w:t>jednostki samorządu terytorialnego.</w:t>
      </w:r>
      <w:r w:rsidR="00F37907">
        <w:rPr>
          <w:rFonts w:ascii="Times" w:eastAsia="Times New Roman" w:hAnsi="Times" w:cs="Arial"/>
          <w:sz w:val="24"/>
        </w:rPr>
        <w:t xml:space="preserve"> Stąd nie ma podstaw aby takie podmioty mogły, choćby teoretycznie, występować o wydanie opinii.</w:t>
      </w:r>
    </w:p>
    <w:p w:rsidR="00905451" w:rsidRDefault="00395D72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Zmiana zaproponowana w art. 1 pkt 1 lit d ustawy nowelizującej (dot</w:t>
      </w:r>
      <w:r w:rsidR="00856416">
        <w:rPr>
          <w:rFonts w:ascii="Times" w:eastAsia="Times New Roman" w:hAnsi="Times" w:cs="Arial"/>
          <w:sz w:val="24"/>
        </w:rPr>
        <w:t>yczy</w:t>
      </w:r>
      <w:r>
        <w:rPr>
          <w:rFonts w:ascii="Times" w:eastAsia="Times New Roman" w:hAnsi="Times" w:cs="Arial"/>
          <w:sz w:val="24"/>
        </w:rPr>
        <w:t xml:space="preserve"> zmodyfikowania treści art. 95d ust. 3 pkt 1 ustawy nowelizowanej) poprzez wskazanie, że Minister Zdrowia jest organem właściwym do wydania opinii w odniesieniu do podmiotów leczniczych, dla których Minister Zdrowia jest organem tworzącym (a nie tylko dla których organem tworzącym jest wojewoda).</w:t>
      </w:r>
      <w:r w:rsidR="00FF22F7">
        <w:rPr>
          <w:rFonts w:ascii="Times" w:eastAsia="Times New Roman" w:hAnsi="Times" w:cs="Arial"/>
          <w:sz w:val="24"/>
        </w:rPr>
        <w:t xml:space="preserve"> </w:t>
      </w:r>
      <w:r w:rsidR="00905451" w:rsidRPr="00D36252">
        <w:rPr>
          <w:rFonts w:ascii="Times" w:eastAsia="Times New Roman" w:hAnsi="Times" w:cs="Arial"/>
          <w:sz w:val="24"/>
        </w:rPr>
        <w:t>Zmiana zaproponowana w art.</w:t>
      </w:r>
      <w:r w:rsidR="00905451">
        <w:rPr>
          <w:rFonts w:ascii="Times" w:eastAsia="Times New Roman" w:hAnsi="Times" w:cs="Arial"/>
          <w:sz w:val="24"/>
        </w:rPr>
        <w:t xml:space="preserve"> 1 pkt 2 lit. a ustawy nowelizuj</w:t>
      </w:r>
      <w:r w:rsidR="00732557">
        <w:rPr>
          <w:rFonts w:ascii="Times" w:eastAsia="Times New Roman" w:hAnsi="Times" w:cs="Arial"/>
          <w:sz w:val="24"/>
        </w:rPr>
        <w:t>ącej (dotyczy art. 95e ust. 1</w:t>
      </w:r>
      <w:r w:rsidR="00040D62" w:rsidRPr="00040D62">
        <w:t xml:space="preserve"> </w:t>
      </w:r>
      <w:r w:rsidR="00040D62" w:rsidRPr="00040D62">
        <w:rPr>
          <w:rFonts w:ascii="Times" w:eastAsia="Times New Roman" w:hAnsi="Times" w:cs="Arial"/>
          <w:sz w:val="24"/>
        </w:rPr>
        <w:t>ustawy nowelizowanej</w:t>
      </w:r>
      <w:r w:rsidR="00732557">
        <w:rPr>
          <w:rFonts w:ascii="Times" w:eastAsia="Times New Roman" w:hAnsi="Times" w:cs="Arial"/>
          <w:sz w:val="24"/>
        </w:rPr>
        <w:t xml:space="preserve">) </w:t>
      </w:r>
      <w:r w:rsidR="00905451">
        <w:rPr>
          <w:rFonts w:ascii="Times" w:eastAsia="Times New Roman" w:hAnsi="Times" w:cs="Arial"/>
          <w:sz w:val="24"/>
        </w:rPr>
        <w:t>ma na celu umożliwienie złożenia wniosku również przez podmiot zamierzający utworzyć  podmiot leczniczy (rozszerzenie zakresu podmiotowego składania wniosku). Jest to podyktowane licznymi postulatami kierowanymi do Ministra Zdrowia, w szczególności ze strony władz jednostek samorządu terytorialnego oraz uczelni medycznych. W ocenie projektodawcy zaproponowana zmiana przyczyni się do uniknięcia możliwych sytuacji konieczności faktycznego utworzenia podmiotu lecznic</w:t>
      </w:r>
      <w:r w:rsidR="00732557">
        <w:rPr>
          <w:rFonts w:ascii="Times" w:eastAsia="Times New Roman" w:hAnsi="Times" w:cs="Arial"/>
          <w:sz w:val="24"/>
        </w:rPr>
        <w:t xml:space="preserve">zego, aby ten mógł ubiegać się </w:t>
      </w:r>
      <w:r w:rsidR="00905451">
        <w:rPr>
          <w:rFonts w:ascii="Times" w:eastAsia="Times New Roman" w:hAnsi="Times" w:cs="Arial"/>
          <w:sz w:val="24"/>
        </w:rPr>
        <w:t xml:space="preserve">o wydanie opinii (tj. bez możliwości złożenia wniosku wcześniej przez podmiot tworzący, który dopiero zamierzałby podmiot leczniczy utworzyć). </w:t>
      </w:r>
    </w:p>
    <w:p w:rsidR="00905451" w:rsidRDefault="00905451" w:rsidP="00905451">
      <w:pPr>
        <w:rPr>
          <w:rFonts w:ascii="Times" w:eastAsia="Times New Roman" w:hAnsi="Times" w:cs="Arial"/>
          <w:sz w:val="24"/>
        </w:rPr>
      </w:pPr>
    </w:p>
    <w:p w:rsidR="00905451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 xml:space="preserve">Zmiana zaproponowana w art. 1 pkt 2 lit. b ustawy nowelizującej (dotyczy art. 95e ust. 3 ustawy nowelizowanej) polega na uzupełnieniu wykazu elementów, jakie musi zawierać wniosek, o wyodrębnioną informację o częściach inwestycji </w:t>
      </w:r>
      <w:r w:rsidRPr="00714D00">
        <w:rPr>
          <w:rFonts w:ascii="Times" w:eastAsia="Times New Roman" w:hAnsi="Times" w:cs="Arial"/>
          <w:sz w:val="24"/>
        </w:rPr>
        <w:t xml:space="preserve">mających służyć udzielaniu </w:t>
      </w:r>
      <w:r w:rsidRPr="00714D00">
        <w:rPr>
          <w:rFonts w:ascii="Times" w:eastAsia="Times New Roman" w:hAnsi="Times" w:cs="Arial"/>
          <w:sz w:val="24"/>
        </w:rPr>
        <w:lastRenderedPageBreak/>
        <w:t>świadczeń opieki zdrowotnej w zakresie wskazany</w:t>
      </w:r>
      <w:r>
        <w:rPr>
          <w:rFonts w:ascii="Times" w:eastAsia="Times New Roman" w:hAnsi="Times" w:cs="Arial"/>
          <w:sz w:val="24"/>
        </w:rPr>
        <w:t xml:space="preserve">ch specjalności lekarskich, wraz </w:t>
      </w:r>
      <w:r>
        <w:rPr>
          <w:rFonts w:ascii="Times" w:eastAsia="Times New Roman" w:hAnsi="Times" w:cs="Arial"/>
          <w:sz w:val="24"/>
        </w:rPr>
        <w:br/>
        <w:t>z informacją o szacowanej</w:t>
      </w:r>
      <w:r w:rsidRPr="00714D00">
        <w:rPr>
          <w:rFonts w:ascii="Times" w:eastAsia="Times New Roman" w:hAnsi="Times" w:cs="Arial"/>
          <w:sz w:val="24"/>
        </w:rPr>
        <w:t xml:space="preserve"> wartoś</w:t>
      </w:r>
      <w:r>
        <w:rPr>
          <w:rFonts w:ascii="Times" w:eastAsia="Times New Roman" w:hAnsi="Times" w:cs="Arial"/>
          <w:sz w:val="24"/>
        </w:rPr>
        <w:t>ci tychże części inwestycji. Omawiana informacja pozwoli w sposób bardziej kompleksowy i wnikliwy oceniać inwestycje o wysokim stopniu dywersyfikacji udzielnych świadczeń opieki zdrowotnej.</w:t>
      </w:r>
    </w:p>
    <w:p w:rsidR="00905451" w:rsidRDefault="00905451" w:rsidP="00905451">
      <w:pPr>
        <w:jc w:val="both"/>
        <w:rPr>
          <w:rFonts w:ascii="Times" w:eastAsia="Times New Roman" w:hAnsi="Times" w:cs="Arial"/>
          <w:sz w:val="24"/>
        </w:rPr>
      </w:pPr>
    </w:p>
    <w:p w:rsidR="00905451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Zmiana zaproponowana w art. 1 pkt 2 lit. c ustawy nowelizującej:</w:t>
      </w:r>
    </w:p>
    <w:p w:rsidR="00905451" w:rsidRDefault="00905451" w:rsidP="009054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 xml:space="preserve">w zakresie dodania ust. 3a w art. 95e ustawy nowelizowanej – </w:t>
      </w:r>
      <w:r w:rsidR="00856416">
        <w:rPr>
          <w:rFonts w:ascii="Times" w:eastAsia="Times New Roman" w:hAnsi="Times" w:cs="Arial"/>
          <w:sz w:val="24"/>
        </w:rPr>
        <w:t xml:space="preserve">jest </w:t>
      </w:r>
      <w:r>
        <w:rPr>
          <w:rFonts w:ascii="Times" w:eastAsia="Times New Roman" w:hAnsi="Times" w:cs="Arial"/>
          <w:sz w:val="24"/>
        </w:rPr>
        <w:t xml:space="preserve">ukierunkowana </w:t>
      </w:r>
      <w:r w:rsidR="00732557">
        <w:rPr>
          <w:rFonts w:ascii="Times" w:eastAsia="Times New Roman" w:hAnsi="Times" w:cs="Arial"/>
          <w:sz w:val="24"/>
        </w:rPr>
        <w:t xml:space="preserve">na </w:t>
      </w:r>
      <w:r>
        <w:rPr>
          <w:rFonts w:ascii="Times" w:eastAsia="Times New Roman" w:hAnsi="Times" w:cs="Arial"/>
          <w:sz w:val="24"/>
        </w:rPr>
        <w:t>uwydatnienie jednego z celów opiniowania, jakim jest obejmowanie wnioskami inwestycji w możliwie najszerszym ich zakresie w tych przypadkach, kiedy inwestycje mają charakter złożony, a poszczególne ich elementy są ze sobą immanentnie związane; przepis ten ma służyć  ograniczeniu zbyt częstej praktyki, składania wniosków odrębnie dla poszczególnych części jednej inwestycji;</w:t>
      </w:r>
    </w:p>
    <w:p w:rsidR="00905451" w:rsidRDefault="00905451" w:rsidP="009054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 xml:space="preserve">w zakresie dodania ust. 3b w art. 95e ustawy nowelizowanej – ma na celu doszczegółowienie na czym konkretnie polegać mogą inwestycje, które mogą być objęte opiniowaniem poprzez zastosowanie dynamicznego odesłania do definicji zawartych w </w:t>
      </w:r>
      <w:r w:rsidRPr="00CD5E32">
        <w:rPr>
          <w:rFonts w:ascii="Times" w:eastAsia="Times New Roman" w:hAnsi="Times" w:cs="Arial"/>
          <w:sz w:val="24"/>
        </w:rPr>
        <w:t>ustawie z dnia 7 lutego 1994 r. – Prawo budowlane (Dz. U. z 201</w:t>
      </w:r>
      <w:r w:rsidR="00040D62">
        <w:rPr>
          <w:rFonts w:ascii="Times" w:eastAsia="Times New Roman" w:hAnsi="Times" w:cs="Arial"/>
          <w:sz w:val="24"/>
        </w:rPr>
        <w:t>7</w:t>
      </w:r>
      <w:r w:rsidRPr="00CD5E32">
        <w:rPr>
          <w:rFonts w:ascii="Times" w:eastAsia="Times New Roman" w:hAnsi="Times" w:cs="Arial"/>
          <w:sz w:val="24"/>
        </w:rPr>
        <w:t xml:space="preserve"> r. poz. </w:t>
      </w:r>
      <w:r w:rsidR="00040D62">
        <w:rPr>
          <w:rFonts w:ascii="Times" w:eastAsia="Times New Roman" w:hAnsi="Times" w:cs="Arial"/>
          <w:sz w:val="24"/>
        </w:rPr>
        <w:t>1332</w:t>
      </w:r>
      <w:r w:rsidRPr="00CD5E32">
        <w:rPr>
          <w:rFonts w:ascii="Times" w:eastAsia="Times New Roman" w:hAnsi="Times" w:cs="Arial"/>
          <w:sz w:val="24"/>
        </w:rPr>
        <w:t>)</w:t>
      </w:r>
      <w:r w:rsidR="00732557">
        <w:rPr>
          <w:rFonts w:ascii="Times" w:eastAsia="Times New Roman" w:hAnsi="Times" w:cs="Arial"/>
          <w:sz w:val="24"/>
        </w:rPr>
        <w:t>,</w:t>
      </w:r>
      <w:r>
        <w:rPr>
          <w:rFonts w:ascii="Times" w:eastAsia="Times New Roman" w:hAnsi="Times" w:cs="Arial"/>
          <w:sz w:val="24"/>
        </w:rPr>
        <w:t xml:space="preserve"> zmiana ta ma na celu uniknięcie dalszych wątpliwości interpretacyjnych;</w:t>
      </w:r>
    </w:p>
    <w:p w:rsidR="00905451" w:rsidRDefault="00905451" w:rsidP="009054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w zakresie dodania ust. 3c w art. 95e ustawy nowelizowanej – ma na celu unormowanie, że zmiana</w:t>
      </w:r>
      <w:r w:rsidRPr="00BF0C7C">
        <w:rPr>
          <w:rFonts w:ascii="Times" w:eastAsia="Times New Roman" w:hAnsi="Times" w:cs="Arial"/>
          <w:sz w:val="24"/>
        </w:rPr>
        <w:t xml:space="preserve"> adresu miejsca udzielania świadczeń zdrowotnych lub połączenie, podział albo przekształcenie spółek, w rozumieniu </w:t>
      </w:r>
      <w:r>
        <w:rPr>
          <w:rFonts w:ascii="Times" w:eastAsia="Times New Roman" w:hAnsi="Times" w:cs="Arial"/>
          <w:sz w:val="24"/>
        </w:rPr>
        <w:t>KSH</w:t>
      </w:r>
      <w:r w:rsidRPr="00BF0C7C">
        <w:rPr>
          <w:rFonts w:ascii="Times" w:eastAsia="Times New Roman" w:hAnsi="Times" w:cs="Arial"/>
          <w:sz w:val="24"/>
        </w:rPr>
        <w:t>, stanowiące podstawę zmiany wpisu do rejestru, o którym mowa w art. 100 ustawy z dnia 15 kwietnia 2011 r. o działalności leczniczej, nie stanowi</w:t>
      </w:r>
      <w:r>
        <w:rPr>
          <w:rFonts w:ascii="Times" w:eastAsia="Times New Roman" w:hAnsi="Times" w:cs="Arial"/>
          <w:sz w:val="24"/>
        </w:rPr>
        <w:t>ą</w:t>
      </w:r>
      <w:r w:rsidRPr="00BF0C7C">
        <w:rPr>
          <w:rFonts w:ascii="Times" w:eastAsia="Times New Roman" w:hAnsi="Times" w:cs="Arial"/>
          <w:sz w:val="24"/>
        </w:rPr>
        <w:t xml:space="preserve"> inwestycji</w:t>
      </w:r>
      <w:r>
        <w:rPr>
          <w:rFonts w:ascii="Times" w:eastAsia="Times New Roman" w:hAnsi="Times" w:cs="Arial"/>
          <w:sz w:val="24"/>
        </w:rPr>
        <w:t xml:space="preserve"> w rozumieniu ustawy nowelizowanej; ma to na celu uniknięcie dalszych wątpliwości interpretacyjnych;</w:t>
      </w:r>
    </w:p>
    <w:p w:rsidR="00905451" w:rsidRDefault="00905451" w:rsidP="009054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w zakresie dodania ust. 3d w art. 95e ustawy nowelizowanej – jest konsekwencją merytoryczną propozycji umocowania w ustawie nowelizowanej odrębnego formularza Instrumentu dla inwestycji odtworzeniowych (o czym w części niniejszego uzasadnienia odnoszącej się do art. 1 pkt 5 ustawy nowelizującej).</w:t>
      </w:r>
    </w:p>
    <w:p w:rsidR="00905451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</w:p>
    <w:p w:rsidR="00905451" w:rsidRPr="009008E5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9008E5">
        <w:rPr>
          <w:rFonts w:ascii="Times" w:eastAsia="Times New Roman" w:hAnsi="Times" w:cs="Arial"/>
          <w:sz w:val="24"/>
        </w:rPr>
        <w:t>Zmiana zap</w:t>
      </w:r>
      <w:r>
        <w:rPr>
          <w:rFonts w:ascii="Times" w:eastAsia="Times New Roman" w:hAnsi="Times" w:cs="Arial"/>
          <w:sz w:val="24"/>
        </w:rPr>
        <w:t xml:space="preserve">roponowana w art. 1 pkt 2 lit. d ustawy nowelizującej ma na celu zróżnicowanie wysokości opłat za złożenie wniosku w zależności od tego, czy inwestycja, której dotyczy wniosek ma mieć charakter złożony (wieloprofilowy) czy nie. Co do zasady wysokość opłaty, pozostawia się na niezmienionym poziomie 4000 zł, przy czym w przypadku inwestycji dotyczących więcej niż 1 specjalności lekarskiej spośród listy specjalności </w:t>
      </w:r>
      <w:r>
        <w:rPr>
          <w:rFonts w:ascii="Times" w:eastAsia="Times New Roman" w:hAnsi="Times" w:cs="Arial"/>
          <w:sz w:val="24"/>
        </w:rPr>
        <w:lastRenderedPageBreak/>
        <w:t xml:space="preserve">określonej </w:t>
      </w:r>
      <w:r>
        <w:rPr>
          <w:rFonts w:ascii="Times" w:eastAsia="Times New Roman" w:hAnsi="Times" w:cs="Arial"/>
          <w:sz w:val="24"/>
        </w:rPr>
        <w:br/>
      </w:r>
      <w:r w:rsidRPr="008C4E03">
        <w:rPr>
          <w:rFonts w:ascii="Times" w:eastAsia="Times New Roman" w:hAnsi="Times" w:cs="Arial"/>
          <w:sz w:val="24"/>
        </w:rPr>
        <w:t xml:space="preserve">w załączniku V.1 do dyrektywy 2005/36/WE Parlamentu Europejskiego i Rady z dnia 7 września 2005 r. w sprawie uznawania kwalifikacji zawodowych (Dz.U. L 255 z 30.9.2005, s. 22-142, z </w:t>
      </w:r>
      <w:proofErr w:type="spellStart"/>
      <w:r w:rsidRPr="008C4E03">
        <w:rPr>
          <w:rFonts w:ascii="Times" w:eastAsia="Times New Roman" w:hAnsi="Times" w:cs="Arial"/>
          <w:sz w:val="24"/>
        </w:rPr>
        <w:t>późn</w:t>
      </w:r>
      <w:proofErr w:type="spellEnd"/>
      <w:r w:rsidRPr="008C4E03">
        <w:rPr>
          <w:rFonts w:ascii="Times" w:eastAsia="Times New Roman" w:hAnsi="Times" w:cs="Arial"/>
          <w:sz w:val="24"/>
        </w:rPr>
        <w:t xml:space="preserve">. zm.) </w:t>
      </w:r>
      <w:r>
        <w:rPr>
          <w:rFonts w:ascii="Times" w:eastAsia="Times New Roman" w:hAnsi="Times" w:cs="Arial"/>
          <w:sz w:val="24"/>
        </w:rPr>
        <w:t xml:space="preserve"> projektodawca proponuje, aby za drugą i kolejne specjalności </w:t>
      </w:r>
      <w:r>
        <w:rPr>
          <w:rFonts w:ascii="Times" w:eastAsia="Times New Roman" w:hAnsi="Times" w:cs="Arial"/>
          <w:sz w:val="24"/>
        </w:rPr>
        <w:br/>
        <w:t xml:space="preserve">ww. opłata była powiększana o 1000 zł od każdej dodatkowej specjalności. Propozycja </w:t>
      </w:r>
      <w:r>
        <w:rPr>
          <w:rFonts w:ascii="Times" w:eastAsia="Times New Roman" w:hAnsi="Times" w:cs="Arial"/>
          <w:sz w:val="24"/>
        </w:rPr>
        <w:br/>
        <w:t xml:space="preserve">ta podyktowana jest tym, że w przypadku wniosków dotyczących inwestycji wieloprofilowych nakład pracy i czas poświęcony na zaopiniowanie wniosku są zwielokrotnione, w związku z czym powinny znajdować odzwierciedlenie w powiększonej kwocie opłaty. Jednocześnie propozycja ta zmierza w kierunku zachęcenia podmiotów wnioskujących do możliwie szerokiego ujmowania we wnioskach swych zamiarów inwestycyjnych (w ramach podejścia całościowego do realizowanych inwestycji), co jest </w:t>
      </w:r>
      <w:r>
        <w:rPr>
          <w:rFonts w:ascii="Times" w:eastAsia="Times New Roman" w:hAnsi="Times" w:cs="Arial"/>
          <w:sz w:val="24"/>
        </w:rPr>
        <w:br/>
        <w:t>w ocenie projektodawcy niejednokrotnie lepszym rozwiązaniem w stosunku do składania odrębnych wniosków (i uiszczania z tego tytułu kolejnych opłat, każdorazowo w wysokości 4000 zł). Takie podejście do kwestii maksymalizacji komplementarności inwestycji jest ucieleśniane również przez zmianę zaproponowaną w art. 1 pkt 2 lit c projektu w zakresie dodania ust. 3a w art. 95e ustawy nowelizowanej.</w:t>
      </w:r>
    </w:p>
    <w:p w:rsidR="00905451" w:rsidRDefault="00905451" w:rsidP="00905451"/>
    <w:p w:rsidR="00905451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Zmiana zaproponowana w art. 1 pkt 3 ustawy nowelizującej (dot</w:t>
      </w:r>
      <w:r w:rsidR="00856416">
        <w:rPr>
          <w:rFonts w:ascii="Times" w:eastAsia="Times New Roman" w:hAnsi="Times" w:cs="Arial"/>
          <w:sz w:val="24"/>
        </w:rPr>
        <w:t>yczy</w:t>
      </w:r>
      <w:r>
        <w:rPr>
          <w:rFonts w:ascii="Times" w:eastAsia="Times New Roman" w:hAnsi="Times" w:cs="Arial"/>
          <w:sz w:val="24"/>
        </w:rPr>
        <w:t xml:space="preserve"> oznaczenia dotychczasowej treści art. 95h ustawy nowelizowanej jako ust. 1 i dodania ust. 2) ma na celu ukonstytuowanie drugiego – obok dotychczasowego – formularza Instrumentu dedykowanego wyłącznie inwestycjom o charakterze odtworzeniowym </w:t>
      </w:r>
      <w:r w:rsidRPr="00A86D9F">
        <w:rPr>
          <w:rFonts w:ascii="Times" w:eastAsia="Times New Roman" w:hAnsi="Times" w:cs="Arial"/>
          <w:sz w:val="24"/>
        </w:rPr>
        <w:t>(tzn. pozostającym bez wpływu na zakres udzielanych świadczeń opieki zdrowotnej)</w:t>
      </w:r>
      <w:r>
        <w:rPr>
          <w:rFonts w:ascii="Times" w:eastAsia="Times New Roman" w:hAnsi="Times" w:cs="Arial"/>
          <w:sz w:val="24"/>
        </w:rPr>
        <w:t>. W projektowanym przepisie zawarto upoważnienie ustawowe do wydania rozporządzenia, które w szczególności określi wzór, a więc i treść takiego formularza, algorytm wyliczania całkowitego wyniku punktowego umożliwiającego uzyskanie opinii pozytywnej, jak również minimalną liczbę punktów wymaganych do uzyskania opinii.</w:t>
      </w:r>
    </w:p>
    <w:p w:rsidR="00905451" w:rsidRDefault="00905451" w:rsidP="00905451">
      <w:pPr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 xml:space="preserve">Propozycje te wzorowano na dotychczas obowiązujących przepisach, które docelowo </w:t>
      </w:r>
      <w:r w:rsidR="00D2712D">
        <w:rPr>
          <w:rFonts w:ascii="Times" w:eastAsia="Times New Roman" w:hAnsi="Times" w:cs="Arial"/>
          <w:sz w:val="24"/>
        </w:rPr>
        <w:t xml:space="preserve">będą </w:t>
      </w:r>
      <w:r>
        <w:rPr>
          <w:rFonts w:ascii="Times" w:eastAsia="Times New Roman" w:hAnsi="Times" w:cs="Arial"/>
          <w:sz w:val="24"/>
        </w:rPr>
        <w:t>dotyczyć inwestycji polegającej na u</w:t>
      </w:r>
      <w:r w:rsidRPr="00715C12">
        <w:rPr>
          <w:rFonts w:ascii="Times" w:eastAsia="Times New Roman" w:hAnsi="Times" w:cs="Arial"/>
          <w:sz w:val="24"/>
        </w:rPr>
        <w:t>tworzeniu nowego podmiotu leczniczego lub innej inwestycji, skutkującej zmianą zakresu udzielanych świadczeń opieki zdrowotnej</w:t>
      </w:r>
      <w:r>
        <w:rPr>
          <w:rFonts w:ascii="Times" w:eastAsia="Times New Roman" w:hAnsi="Times" w:cs="Arial"/>
          <w:sz w:val="24"/>
        </w:rPr>
        <w:t>.</w:t>
      </w:r>
    </w:p>
    <w:p w:rsidR="00905451" w:rsidRDefault="00905451" w:rsidP="00905451">
      <w:pPr>
        <w:rPr>
          <w:rFonts w:ascii="Times" w:eastAsia="Times New Roman" w:hAnsi="Times" w:cs="Arial"/>
          <w:sz w:val="24"/>
        </w:rPr>
      </w:pPr>
    </w:p>
    <w:p w:rsidR="00395D72" w:rsidRDefault="00905451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C36DD">
        <w:rPr>
          <w:rFonts w:ascii="Times" w:eastAsia="Times New Roman" w:hAnsi="Times" w:cs="Arial"/>
          <w:sz w:val="24"/>
        </w:rPr>
        <w:t>Nadto</w:t>
      </w:r>
      <w:r>
        <w:rPr>
          <w:rFonts w:ascii="Times" w:eastAsia="Times New Roman" w:hAnsi="Times" w:cs="Arial"/>
          <w:sz w:val="24"/>
        </w:rPr>
        <w:t xml:space="preserve"> w art. 1 pkt 4 </w:t>
      </w:r>
      <w:r w:rsidR="00D2712D">
        <w:rPr>
          <w:rFonts w:ascii="Times" w:eastAsia="Times New Roman" w:hAnsi="Times" w:cs="Arial"/>
          <w:sz w:val="24"/>
        </w:rPr>
        <w:t xml:space="preserve">projektu </w:t>
      </w:r>
      <w:r w:rsidRPr="001C36DD">
        <w:rPr>
          <w:rFonts w:ascii="Times" w:eastAsia="Times New Roman" w:hAnsi="Times" w:cs="Arial"/>
          <w:sz w:val="24"/>
        </w:rPr>
        <w:t>proponuje się</w:t>
      </w:r>
      <w:r w:rsidR="00395D72">
        <w:rPr>
          <w:rFonts w:ascii="Times" w:eastAsia="Times New Roman" w:hAnsi="Times" w:cs="Arial"/>
          <w:sz w:val="24"/>
        </w:rPr>
        <w:t>:</w:t>
      </w:r>
    </w:p>
    <w:p w:rsidR="00395D72" w:rsidRDefault="00395D72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1) doprecyzowanie art. 95i ust. 3 pkt 5 ustawy nowelizowanej (zmiana ta ujęta jest w art. 1 pkt 4 lit. a ustawy nowelizującej);</w:t>
      </w:r>
    </w:p>
    <w:p w:rsidR="00395D72" w:rsidRDefault="00395D72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2) dodanie do</w:t>
      </w:r>
      <w:r w:rsidR="00F255CA">
        <w:rPr>
          <w:rFonts w:ascii="Times" w:eastAsia="Times New Roman" w:hAnsi="Times" w:cs="Arial"/>
          <w:sz w:val="24"/>
        </w:rPr>
        <w:t xml:space="preserve"> zmienianego art. </w:t>
      </w:r>
      <w:r w:rsidR="00D2712D">
        <w:rPr>
          <w:rFonts w:ascii="Times" w:eastAsia="Times New Roman" w:hAnsi="Times" w:cs="Arial"/>
          <w:sz w:val="24"/>
        </w:rPr>
        <w:t xml:space="preserve">95i </w:t>
      </w:r>
      <w:r w:rsidR="00F255CA">
        <w:rPr>
          <w:rFonts w:ascii="Times" w:eastAsia="Times New Roman" w:hAnsi="Times" w:cs="Arial"/>
          <w:sz w:val="24"/>
        </w:rPr>
        <w:t xml:space="preserve">ustawy nowelizowanej dodatkowego ust. 6a </w:t>
      </w:r>
      <w:r w:rsidR="00F255CA">
        <w:rPr>
          <w:rFonts w:ascii="Times" w:eastAsia="Times New Roman" w:hAnsi="Times" w:cs="Arial"/>
          <w:sz w:val="24"/>
        </w:rPr>
        <w:lastRenderedPageBreak/>
        <w:t>nakładającego na Ministra Zdrowia obowiązek uwzględnienia w opinii w sprawie protestu elementu weryfikacji oceny celowości;</w:t>
      </w:r>
    </w:p>
    <w:p w:rsidR="00905451" w:rsidRDefault="00395D72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3)</w:t>
      </w:r>
      <w:r w:rsidR="00905451" w:rsidRPr="001C36DD">
        <w:rPr>
          <w:rFonts w:ascii="Times" w:eastAsia="Times New Roman" w:hAnsi="Times" w:cs="Arial"/>
          <w:sz w:val="24"/>
        </w:rPr>
        <w:t xml:space="preserve"> </w:t>
      </w:r>
      <w:r w:rsidR="00905451">
        <w:rPr>
          <w:rFonts w:ascii="Times" w:eastAsia="Times New Roman" w:hAnsi="Times" w:cs="Arial"/>
          <w:sz w:val="24"/>
        </w:rPr>
        <w:t>umożliwienie</w:t>
      </w:r>
      <w:r w:rsidR="00905451" w:rsidRPr="001C36DD">
        <w:rPr>
          <w:rFonts w:ascii="Times" w:eastAsia="Times New Roman" w:hAnsi="Times" w:cs="Arial"/>
          <w:sz w:val="24"/>
        </w:rPr>
        <w:t xml:space="preserve"> </w:t>
      </w:r>
      <w:r w:rsidR="00905451">
        <w:rPr>
          <w:rFonts w:ascii="Times" w:eastAsia="Times New Roman" w:hAnsi="Times" w:cs="Arial"/>
          <w:sz w:val="24"/>
        </w:rPr>
        <w:t xml:space="preserve">wojewodzie </w:t>
      </w:r>
      <w:r w:rsidR="00905451" w:rsidRPr="001C36DD">
        <w:rPr>
          <w:rFonts w:ascii="Times" w:eastAsia="Times New Roman" w:hAnsi="Times" w:cs="Arial"/>
          <w:sz w:val="24"/>
        </w:rPr>
        <w:t xml:space="preserve">– w przypadku wniesienia protestu w sprawie wydanej przez </w:t>
      </w:r>
      <w:r w:rsidR="00905451">
        <w:rPr>
          <w:rFonts w:ascii="Times" w:eastAsia="Times New Roman" w:hAnsi="Times" w:cs="Arial"/>
          <w:sz w:val="24"/>
        </w:rPr>
        <w:t>niego</w:t>
      </w:r>
      <w:r w:rsidR="00905451" w:rsidRPr="001C36DD">
        <w:rPr>
          <w:rFonts w:ascii="Times" w:eastAsia="Times New Roman" w:hAnsi="Times" w:cs="Arial"/>
          <w:sz w:val="24"/>
        </w:rPr>
        <w:t xml:space="preserve"> opinii o celowości inwestycji –</w:t>
      </w:r>
      <w:r w:rsidR="00905451">
        <w:rPr>
          <w:rFonts w:ascii="Times" w:eastAsia="Times New Roman" w:hAnsi="Times" w:cs="Arial"/>
          <w:sz w:val="24"/>
        </w:rPr>
        <w:t xml:space="preserve"> </w:t>
      </w:r>
      <w:r w:rsidR="00905451" w:rsidRPr="001C36DD">
        <w:rPr>
          <w:rFonts w:ascii="Times" w:eastAsia="Times New Roman" w:hAnsi="Times" w:cs="Arial"/>
          <w:sz w:val="24"/>
        </w:rPr>
        <w:t xml:space="preserve">zapoznania się z treścią protestu i ewentualnego dokonania zmiany pierwotnie wydanej opinii (w zakresie oceny poszczególnych kryteriów, </w:t>
      </w:r>
      <w:r w:rsidR="00905451">
        <w:rPr>
          <w:rFonts w:ascii="Times" w:eastAsia="Times New Roman" w:hAnsi="Times" w:cs="Arial"/>
          <w:sz w:val="24"/>
        </w:rPr>
        <w:br/>
      </w:r>
      <w:r w:rsidR="00905451" w:rsidRPr="001C36DD">
        <w:rPr>
          <w:rFonts w:ascii="Times" w:eastAsia="Times New Roman" w:hAnsi="Times" w:cs="Arial"/>
          <w:sz w:val="24"/>
        </w:rPr>
        <w:t xml:space="preserve">czy </w:t>
      </w:r>
      <w:r w:rsidR="00905451">
        <w:rPr>
          <w:rFonts w:ascii="Times" w:eastAsia="Times New Roman" w:hAnsi="Times" w:cs="Arial"/>
          <w:sz w:val="24"/>
        </w:rPr>
        <w:t>uzasadnienia – jeżeli dotyczy), co z kolei wyłączy konieczność przekazania protestu Ministrowi Zdrowia (zmiana ta ujęta jest w art. 1 pkt 4</w:t>
      </w:r>
      <w:r>
        <w:rPr>
          <w:rFonts w:ascii="Times" w:eastAsia="Times New Roman" w:hAnsi="Times" w:cs="Arial"/>
          <w:sz w:val="24"/>
        </w:rPr>
        <w:t xml:space="preserve"> </w:t>
      </w:r>
      <w:r w:rsidR="00905451">
        <w:rPr>
          <w:rFonts w:ascii="Times" w:eastAsia="Times New Roman" w:hAnsi="Times" w:cs="Arial"/>
          <w:sz w:val="24"/>
        </w:rPr>
        <w:t>l</w:t>
      </w:r>
      <w:r>
        <w:rPr>
          <w:rFonts w:ascii="Times" w:eastAsia="Times New Roman" w:hAnsi="Times" w:cs="Arial"/>
          <w:sz w:val="24"/>
        </w:rPr>
        <w:t>i</w:t>
      </w:r>
      <w:r w:rsidR="00905451">
        <w:rPr>
          <w:rFonts w:ascii="Times" w:eastAsia="Times New Roman" w:hAnsi="Times" w:cs="Arial"/>
          <w:sz w:val="24"/>
        </w:rPr>
        <w:t xml:space="preserve">t. </w:t>
      </w:r>
      <w:r>
        <w:rPr>
          <w:rFonts w:ascii="Times" w:eastAsia="Times New Roman" w:hAnsi="Times" w:cs="Arial"/>
          <w:sz w:val="24"/>
        </w:rPr>
        <w:t>c</w:t>
      </w:r>
      <w:r w:rsidR="00905451">
        <w:rPr>
          <w:rFonts w:ascii="Times" w:eastAsia="Times New Roman" w:hAnsi="Times" w:cs="Arial"/>
          <w:sz w:val="24"/>
        </w:rPr>
        <w:t xml:space="preserve"> ustawy nowelizującej w zakresie dodania ust. 8a i 8b w art. 95i ustawy nowelizowanej). </w:t>
      </w:r>
      <w:r w:rsidR="00905451" w:rsidRPr="008F0DED">
        <w:rPr>
          <w:rFonts w:ascii="Times" w:eastAsia="Times New Roman" w:hAnsi="Times" w:cs="Arial"/>
          <w:sz w:val="24"/>
        </w:rPr>
        <w:t xml:space="preserve">Dotychczasowa praktyka oceny protestów wskazuje, że niejednokrotnie pozytywne rozstrzygnięcie protestu przez Ministra Zdrowia </w:t>
      </w:r>
      <w:r w:rsidR="00905451">
        <w:rPr>
          <w:rFonts w:ascii="Times" w:eastAsia="Times New Roman" w:hAnsi="Times" w:cs="Arial"/>
          <w:sz w:val="24"/>
        </w:rPr>
        <w:t xml:space="preserve">(w stosunku </w:t>
      </w:r>
      <w:r w:rsidR="00905451" w:rsidRPr="008F0DED">
        <w:rPr>
          <w:rFonts w:ascii="Times" w:eastAsia="Times New Roman" w:hAnsi="Times" w:cs="Arial"/>
          <w:sz w:val="24"/>
        </w:rPr>
        <w:t>do negatywnej opinii wojewody) wynikało z faktu, iż w ramach protestu podmiot wnioskujący przedstawiał Ministrowi Zdrowia szersze informacje (czy też takie, których pierwotnie nie przedstawił wojewodzie w ogóle), w związku z czym wojewoda nie mając kompleksowej wiedzy na temat danej inwestycji, wydawał opinie negatywne, co też stawało się następczo przyczynkiem do wniesienia protestu.</w:t>
      </w:r>
      <w:r w:rsidR="00905451">
        <w:rPr>
          <w:rFonts w:ascii="Times" w:eastAsia="Times New Roman" w:hAnsi="Times" w:cs="Arial"/>
          <w:sz w:val="24"/>
        </w:rPr>
        <w:t xml:space="preserve"> </w:t>
      </w:r>
      <w:r w:rsidR="00905451" w:rsidRPr="008F0DED">
        <w:rPr>
          <w:rFonts w:ascii="Times" w:eastAsia="Times New Roman" w:hAnsi="Times" w:cs="Arial"/>
          <w:sz w:val="24"/>
        </w:rPr>
        <w:t xml:space="preserve">Proponowane usprawnienie ma na celu umożliwienie wojewodzie zapoznania się ze wszystkimi nowymi informacjami dotyczącymi danej inwestycji i </w:t>
      </w:r>
      <w:r w:rsidR="00905451">
        <w:rPr>
          <w:rFonts w:ascii="Times" w:eastAsia="Times New Roman" w:hAnsi="Times" w:cs="Arial"/>
          <w:sz w:val="24"/>
        </w:rPr>
        <w:t>daje szansę na ewentualną rewizję</w:t>
      </w:r>
      <w:r w:rsidR="00905451" w:rsidRPr="008F0DED">
        <w:rPr>
          <w:rFonts w:ascii="Times" w:eastAsia="Times New Roman" w:hAnsi="Times" w:cs="Arial"/>
          <w:sz w:val="24"/>
        </w:rPr>
        <w:t xml:space="preserve"> uprzednio wydanej opinii (zmiana opinii), nim formalnie prot</w:t>
      </w:r>
      <w:r w:rsidR="00905451">
        <w:rPr>
          <w:rFonts w:ascii="Times" w:eastAsia="Times New Roman" w:hAnsi="Times" w:cs="Arial"/>
          <w:sz w:val="24"/>
        </w:rPr>
        <w:t>est zostałby rozpatrzony przez M</w:t>
      </w:r>
      <w:r w:rsidR="00905451" w:rsidRPr="008F0DED">
        <w:rPr>
          <w:rFonts w:ascii="Times" w:eastAsia="Times New Roman" w:hAnsi="Times" w:cs="Arial"/>
          <w:sz w:val="24"/>
        </w:rPr>
        <w:t xml:space="preserve">inistra </w:t>
      </w:r>
      <w:r w:rsidR="00905451">
        <w:rPr>
          <w:rFonts w:ascii="Times" w:eastAsia="Times New Roman" w:hAnsi="Times" w:cs="Arial"/>
          <w:sz w:val="24"/>
        </w:rPr>
        <w:t>Z</w:t>
      </w:r>
      <w:r w:rsidR="00905451" w:rsidRPr="008F0DED">
        <w:rPr>
          <w:rFonts w:ascii="Times" w:eastAsia="Times New Roman" w:hAnsi="Times" w:cs="Arial"/>
          <w:sz w:val="24"/>
        </w:rPr>
        <w:t xml:space="preserve">drowia. Ma to </w:t>
      </w:r>
      <w:r w:rsidR="00905451">
        <w:rPr>
          <w:rFonts w:ascii="Times" w:eastAsia="Times New Roman" w:hAnsi="Times" w:cs="Arial"/>
          <w:sz w:val="24"/>
        </w:rPr>
        <w:t>przynieść efekt nie</w:t>
      </w:r>
      <w:r w:rsidR="00905451" w:rsidRPr="008F0DED">
        <w:rPr>
          <w:rFonts w:ascii="Times" w:eastAsia="Times New Roman" w:hAnsi="Times" w:cs="Arial"/>
          <w:sz w:val="24"/>
        </w:rPr>
        <w:t xml:space="preserve">przekazywania przez wojewodę protestów do Ministra Zdrowia, </w:t>
      </w:r>
      <w:r w:rsidR="00905451">
        <w:rPr>
          <w:rFonts w:ascii="Times" w:eastAsia="Times New Roman" w:hAnsi="Times" w:cs="Arial"/>
          <w:sz w:val="24"/>
        </w:rPr>
        <w:br/>
      </w:r>
      <w:r w:rsidR="00905451" w:rsidRPr="008F0DED">
        <w:rPr>
          <w:rFonts w:ascii="Times" w:eastAsia="Times New Roman" w:hAnsi="Times" w:cs="Arial"/>
          <w:sz w:val="24"/>
        </w:rPr>
        <w:t>w przypadkach gdy w świetle przepisów prawa protest nie mógłby zostać faktycznie rozpatrzony.</w:t>
      </w:r>
    </w:p>
    <w:p w:rsidR="00905451" w:rsidRPr="008F0DED" w:rsidRDefault="00905451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Proponuje się również odejście od obowiązku informowania podmiotu wnioskującego przez organ wydający opinię o tym, że protest nie podlega rozpatrzeniu w formie postanowienia, poprzez zmianę zaproponowaną w art. 1 pkt 4 l</w:t>
      </w:r>
      <w:r w:rsidR="00C54B59">
        <w:rPr>
          <w:rFonts w:ascii="Times" w:eastAsia="Times New Roman" w:hAnsi="Times" w:cs="Arial"/>
          <w:sz w:val="24"/>
        </w:rPr>
        <w:t>it. e ustawy nowelizującej (dotyczy</w:t>
      </w:r>
      <w:r>
        <w:rPr>
          <w:rFonts w:ascii="Times" w:eastAsia="Times New Roman" w:hAnsi="Times" w:cs="Arial"/>
          <w:sz w:val="24"/>
        </w:rPr>
        <w:t xml:space="preserve"> art. 95i ust. 10 ustawy nowelizowanej) w zakresie uchylenia ust. 10 w art. 95i ustawy nowelizowanej. Dodatkowo, w art. 1 pkt 4 lit d ustawy nowelizującej zaproponowano doprecyzowanie w art. 95i</w:t>
      </w:r>
      <w:r w:rsidR="003D59EC">
        <w:rPr>
          <w:rFonts w:ascii="Times" w:eastAsia="Times New Roman" w:hAnsi="Times" w:cs="Arial"/>
          <w:sz w:val="24"/>
        </w:rPr>
        <w:t xml:space="preserve"> ust. 10 ustawy nowelizowanej, ż</w:t>
      </w:r>
      <w:r>
        <w:rPr>
          <w:rFonts w:ascii="Times" w:eastAsia="Times New Roman" w:hAnsi="Times" w:cs="Arial"/>
          <w:sz w:val="24"/>
        </w:rPr>
        <w:t>e powiadomienie podmiotu wnioskującego o powyższym fakcie nastąpić ma w ciągu 7 dni roboczych (a nie np. kalendarzowych, co też można było wywnioskować na podstawi dotychczasowego brzmienia omawianego przepisu prawa).</w:t>
      </w:r>
    </w:p>
    <w:p w:rsidR="00905451" w:rsidRDefault="00905451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</w:p>
    <w:p w:rsidR="00905451" w:rsidRDefault="00905451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Zmiana ustawy</w:t>
      </w:r>
      <w:r w:rsidRPr="009B48A2">
        <w:rPr>
          <w:rFonts w:ascii="Times" w:eastAsia="Times New Roman" w:hAnsi="Times" w:cs="Arial"/>
          <w:sz w:val="24"/>
        </w:rPr>
        <w:t xml:space="preserve"> z dnia 15 kwietnia 2011 r. o działalności leczniczej </w:t>
      </w:r>
      <w:r>
        <w:rPr>
          <w:rFonts w:ascii="Times" w:eastAsia="Times New Roman" w:hAnsi="Times" w:cs="Arial"/>
          <w:sz w:val="24"/>
        </w:rPr>
        <w:t xml:space="preserve">zaproponowana w art. 2 ustawy nowelizującej, ma na celu powiązanie możliwości otrzymania dotacji określonych w </w:t>
      </w:r>
      <w:r>
        <w:rPr>
          <w:rFonts w:ascii="Times" w:eastAsia="Times New Roman" w:hAnsi="Times" w:cs="Arial"/>
          <w:sz w:val="24"/>
        </w:rPr>
        <w:lastRenderedPageBreak/>
        <w:t xml:space="preserve">art. 115 ust. 4 </w:t>
      </w:r>
      <w:r w:rsidRPr="006E39CF">
        <w:rPr>
          <w:rFonts w:ascii="Times" w:eastAsia="Times New Roman" w:hAnsi="Times" w:cs="Arial"/>
          <w:sz w:val="24"/>
        </w:rPr>
        <w:t>ustawy z dnia 15 kwietnia</w:t>
      </w:r>
      <w:r w:rsidR="00D2712D">
        <w:rPr>
          <w:rFonts w:ascii="Times" w:eastAsia="Times New Roman" w:hAnsi="Times" w:cs="Arial"/>
          <w:sz w:val="24"/>
        </w:rPr>
        <w:t xml:space="preserve"> </w:t>
      </w:r>
      <w:r w:rsidRPr="006E39CF">
        <w:rPr>
          <w:rFonts w:ascii="Times" w:eastAsia="Times New Roman" w:hAnsi="Times" w:cs="Arial"/>
          <w:sz w:val="24"/>
        </w:rPr>
        <w:t>2011 r. o działalności leczniczej</w:t>
      </w:r>
      <w:r>
        <w:rPr>
          <w:rFonts w:ascii="Times" w:eastAsia="Times New Roman" w:hAnsi="Times" w:cs="Arial"/>
          <w:sz w:val="24"/>
        </w:rPr>
        <w:t xml:space="preserve"> z faktem uzyskania pozytywnej opinii i jej przedłożenia organowi właściwemu do przyznania dotacji. W ocenie projektodawcy zasadnym jest uzyskiwanie przedmiotowej dotacji na cele wymienione w art. 114 ust. 1 pkt 2 i 3 ww. ustawy wyłącznie przez te podmioty, których przedsięwzięcia inwestycyjne są faktycznie celowe,</w:t>
      </w:r>
      <w:r w:rsidR="00D2712D">
        <w:rPr>
          <w:rFonts w:ascii="Times" w:eastAsia="Times New Roman" w:hAnsi="Times" w:cs="Arial"/>
          <w:sz w:val="24"/>
        </w:rPr>
        <w:t xml:space="preserve"> </w:t>
      </w:r>
      <w:r>
        <w:rPr>
          <w:rFonts w:ascii="Times" w:eastAsia="Times New Roman" w:hAnsi="Times" w:cs="Arial"/>
          <w:sz w:val="24"/>
        </w:rPr>
        <w:t xml:space="preserve">a co możliwe jest do stwierdzenia jedynie poprzez zastosowanie narzędzia IOWISZ. </w:t>
      </w:r>
    </w:p>
    <w:p w:rsidR="00905451" w:rsidRDefault="00905451" w:rsidP="00190A8F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 xml:space="preserve">W art. 3 ustawy nowelizowanej proponuje się dokonanie modyfikacji tzw. reguły wydatkowej </w:t>
      </w:r>
      <w:r w:rsidRPr="00190A8F">
        <w:rPr>
          <w:rFonts w:ascii="Times" w:eastAsia="Times New Roman" w:hAnsi="Times" w:cs="Arial"/>
          <w:sz w:val="24"/>
        </w:rPr>
        <w:t>przez zastąpienie wyrazów „w poprzednim roku kalendarzowym”</w:t>
      </w:r>
      <w:r>
        <w:rPr>
          <w:rFonts w:ascii="Times" w:eastAsia="Times New Roman" w:hAnsi="Times" w:cs="Arial"/>
          <w:sz w:val="24"/>
        </w:rPr>
        <w:t xml:space="preserve"> </w:t>
      </w:r>
      <w:r w:rsidRPr="00190A8F">
        <w:rPr>
          <w:rFonts w:ascii="Times" w:eastAsia="Times New Roman" w:hAnsi="Times" w:cs="Arial"/>
          <w:sz w:val="24"/>
        </w:rPr>
        <w:t>na „w danym roku kalendarzowym” i jest k</w:t>
      </w:r>
      <w:r>
        <w:rPr>
          <w:rFonts w:ascii="Times" w:eastAsia="Times New Roman" w:hAnsi="Times" w:cs="Arial"/>
          <w:sz w:val="24"/>
        </w:rPr>
        <w:t xml:space="preserve">onieczna z uwagi na zapewnienie </w:t>
      </w:r>
      <w:r w:rsidRPr="00190A8F">
        <w:rPr>
          <w:rFonts w:ascii="Times" w:eastAsia="Times New Roman" w:hAnsi="Times" w:cs="Arial"/>
          <w:sz w:val="24"/>
        </w:rPr>
        <w:t>terminowości i rzetelności oceny przedkładanych wniosków. Od początku</w:t>
      </w:r>
      <w:r>
        <w:rPr>
          <w:rFonts w:ascii="Times" w:eastAsia="Times New Roman" w:hAnsi="Times" w:cs="Arial"/>
          <w:sz w:val="24"/>
        </w:rPr>
        <w:t xml:space="preserve"> 2017 r. do </w:t>
      </w:r>
      <w:r w:rsidRPr="00190A8F">
        <w:rPr>
          <w:rFonts w:ascii="Times" w:eastAsia="Times New Roman" w:hAnsi="Times" w:cs="Arial"/>
          <w:sz w:val="24"/>
        </w:rPr>
        <w:t>Ministerstwa Zdrowia wpłynęło 107 wniosków o wydanie opinii o celowoś</w:t>
      </w:r>
      <w:r>
        <w:rPr>
          <w:rFonts w:ascii="Times" w:eastAsia="Times New Roman" w:hAnsi="Times" w:cs="Arial"/>
          <w:sz w:val="24"/>
        </w:rPr>
        <w:t xml:space="preserve">ci oraz 53 </w:t>
      </w:r>
      <w:r w:rsidRPr="00190A8F">
        <w:rPr>
          <w:rFonts w:ascii="Times" w:eastAsia="Times New Roman" w:hAnsi="Times" w:cs="Arial"/>
          <w:sz w:val="24"/>
        </w:rPr>
        <w:t>protesty od wydanych negatywnych opinii. Łącznie do Ministerstwa Zdrowia wpłynęł</w:t>
      </w:r>
      <w:r>
        <w:rPr>
          <w:rFonts w:ascii="Times" w:eastAsia="Times New Roman" w:hAnsi="Times" w:cs="Arial"/>
          <w:sz w:val="24"/>
        </w:rPr>
        <w:t xml:space="preserve">o </w:t>
      </w:r>
      <w:r w:rsidRPr="00190A8F">
        <w:rPr>
          <w:rFonts w:ascii="Times" w:eastAsia="Times New Roman" w:hAnsi="Times" w:cs="Arial"/>
          <w:sz w:val="24"/>
        </w:rPr>
        <w:t>160 wniosków. Natomiast do Urzędów Wojewódzkich łącznie od począ</w:t>
      </w:r>
      <w:r>
        <w:rPr>
          <w:rFonts w:ascii="Times" w:eastAsia="Times New Roman" w:hAnsi="Times" w:cs="Arial"/>
          <w:sz w:val="24"/>
        </w:rPr>
        <w:t xml:space="preserve">tku 2017 r. </w:t>
      </w:r>
      <w:r w:rsidRPr="00190A8F">
        <w:rPr>
          <w:rFonts w:ascii="Times" w:eastAsia="Times New Roman" w:hAnsi="Times" w:cs="Arial"/>
          <w:sz w:val="24"/>
        </w:rPr>
        <w:t xml:space="preserve">wpłynęło 600 wniosków. Zgodnie </w:t>
      </w:r>
      <w:r>
        <w:rPr>
          <w:rFonts w:ascii="Times" w:eastAsia="Times New Roman" w:hAnsi="Times" w:cs="Arial"/>
          <w:sz w:val="24"/>
        </w:rPr>
        <w:br/>
      </w:r>
      <w:r w:rsidRPr="00190A8F">
        <w:rPr>
          <w:rFonts w:ascii="Times" w:eastAsia="Times New Roman" w:hAnsi="Times" w:cs="Arial"/>
          <w:sz w:val="24"/>
        </w:rPr>
        <w:t>z obowiązującym</w:t>
      </w:r>
      <w:r>
        <w:rPr>
          <w:rFonts w:ascii="Times" w:eastAsia="Times New Roman" w:hAnsi="Times" w:cs="Arial"/>
          <w:sz w:val="24"/>
        </w:rPr>
        <w:t xml:space="preserve">i przepisami dopiero w kolejnym </w:t>
      </w:r>
      <w:r w:rsidRPr="00190A8F">
        <w:rPr>
          <w:rFonts w:ascii="Times" w:eastAsia="Times New Roman" w:hAnsi="Times" w:cs="Arial"/>
          <w:sz w:val="24"/>
        </w:rPr>
        <w:t>roku kalendarzowym organ wydający opinię</w:t>
      </w:r>
      <w:r>
        <w:rPr>
          <w:rFonts w:ascii="Times" w:eastAsia="Times New Roman" w:hAnsi="Times" w:cs="Arial"/>
          <w:sz w:val="24"/>
        </w:rPr>
        <w:t>,</w:t>
      </w:r>
      <w:r w:rsidRPr="00190A8F">
        <w:rPr>
          <w:rFonts w:ascii="Times" w:eastAsia="Times New Roman" w:hAnsi="Times" w:cs="Arial"/>
          <w:sz w:val="24"/>
        </w:rPr>
        <w:t xml:space="preserve"> pomimo</w:t>
      </w:r>
      <w:r>
        <w:rPr>
          <w:rFonts w:ascii="Times" w:eastAsia="Times New Roman" w:hAnsi="Times" w:cs="Arial"/>
          <w:sz w:val="24"/>
        </w:rPr>
        <w:t xml:space="preserve"> znacznego przekroczenia limitu </w:t>
      </w:r>
      <w:r w:rsidRPr="00190A8F">
        <w:rPr>
          <w:rFonts w:ascii="Times" w:eastAsia="Times New Roman" w:hAnsi="Times" w:cs="Arial"/>
          <w:sz w:val="24"/>
        </w:rPr>
        <w:t xml:space="preserve">wniosków w danym roku, może starać się </w:t>
      </w:r>
      <w:r>
        <w:rPr>
          <w:rFonts w:ascii="Times" w:eastAsia="Times New Roman" w:hAnsi="Times" w:cs="Arial"/>
          <w:sz w:val="24"/>
        </w:rPr>
        <w:br/>
      </w:r>
      <w:r w:rsidRPr="00190A8F">
        <w:rPr>
          <w:rFonts w:ascii="Times" w:eastAsia="Times New Roman" w:hAnsi="Times" w:cs="Arial"/>
          <w:sz w:val="24"/>
        </w:rPr>
        <w:t>o zwięk</w:t>
      </w:r>
      <w:r>
        <w:rPr>
          <w:rFonts w:ascii="Times" w:eastAsia="Times New Roman" w:hAnsi="Times" w:cs="Arial"/>
          <w:sz w:val="24"/>
        </w:rPr>
        <w:t xml:space="preserve">szenie zatrudnienia dla potrzeb </w:t>
      </w:r>
      <w:r w:rsidRPr="00190A8F">
        <w:rPr>
          <w:rFonts w:ascii="Times" w:eastAsia="Times New Roman" w:hAnsi="Times" w:cs="Arial"/>
          <w:sz w:val="24"/>
        </w:rPr>
        <w:t>opiniowania celowości inwestycji.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Należy zaznaczyć, że opiniowanie wniosków jest bardzo czasochłonne z uwagi na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obszerną ilość informacji (kilkadziesiąt stron) zawartą w jednym wniosku i całą procedurę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związaną z wydaniem opinii, najistotniejsze z nich to:</w:t>
      </w:r>
    </w:p>
    <w:p w:rsid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1) ocena formalna wniosku, wezwanie do</w:t>
      </w:r>
      <w:r>
        <w:rPr>
          <w:rFonts w:ascii="Times" w:eastAsia="Times New Roman" w:hAnsi="Times" w:cs="Arial"/>
          <w:sz w:val="24"/>
        </w:rPr>
        <w:t xml:space="preserve"> ewentualnych braków formalnych </w:t>
      </w:r>
      <w:r w:rsidRPr="00190A8F">
        <w:rPr>
          <w:rFonts w:ascii="Times" w:eastAsia="Times New Roman" w:hAnsi="Times" w:cs="Arial"/>
          <w:sz w:val="24"/>
        </w:rPr>
        <w:t>w terminie do 7 dni od daty wpłynię</w:t>
      </w:r>
      <w:r>
        <w:rPr>
          <w:rFonts w:ascii="Times" w:eastAsia="Times New Roman" w:hAnsi="Times" w:cs="Arial"/>
          <w:sz w:val="24"/>
        </w:rPr>
        <w:t xml:space="preserve">cia wniosku; </w:t>
      </w:r>
    </w:p>
    <w:p w:rsid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2) ustawowy - 14 dniowy czas na wy</w:t>
      </w:r>
      <w:r>
        <w:rPr>
          <w:rFonts w:ascii="Times" w:eastAsia="Times New Roman" w:hAnsi="Times" w:cs="Arial"/>
          <w:sz w:val="24"/>
        </w:rPr>
        <w:t>danie opinii przez Prezesa Narodowego Funduszu Zdrowia;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3)  przygotowanie propozycji opinii do depa</w:t>
      </w:r>
      <w:r>
        <w:rPr>
          <w:rFonts w:ascii="Times" w:eastAsia="Times New Roman" w:hAnsi="Times" w:cs="Arial"/>
          <w:sz w:val="24"/>
        </w:rPr>
        <w:t xml:space="preserve">rtamentów merytorycznych w celu </w:t>
      </w:r>
      <w:r w:rsidRPr="00190A8F">
        <w:rPr>
          <w:rFonts w:ascii="Times" w:eastAsia="Times New Roman" w:hAnsi="Times" w:cs="Arial"/>
          <w:sz w:val="24"/>
        </w:rPr>
        <w:t>zgłoszenia uwag (k</w:t>
      </w:r>
      <w:r>
        <w:rPr>
          <w:rFonts w:ascii="Times" w:eastAsia="Times New Roman" w:hAnsi="Times" w:cs="Arial"/>
          <w:sz w:val="24"/>
        </w:rPr>
        <w:t>ilkudniowy termin);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4)  porównanie zgłoszonych przez de</w:t>
      </w:r>
      <w:r>
        <w:rPr>
          <w:rFonts w:ascii="Times" w:eastAsia="Times New Roman" w:hAnsi="Times" w:cs="Arial"/>
          <w:sz w:val="24"/>
        </w:rPr>
        <w:t>partamenty uwag (po raz kolejny przeanalizowanie wniosku);</w:t>
      </w:r>
    </w:p>
    <w:p w:rsidR="00190A8F" w:rsidRPr="00190A8F" w:rsidRDefault="00190A8F" w:rsidP="00190A8F">
      <w:pPr>
        <w:widowControl/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190A8F">
        <w:rPr>
          <w:rFonts w:ascii="Times" w:eastAsia="Times New Roman" w:hAnsi="Times" w:cs="Arial"/>
          <w:sz w:val="24"/>
        </w:rPr>
        <w:t>5) przygotowanie ostatecznej opinii w terminie do 45 dni od daty wpłynię</w:t>
      </w:r>
      <w:r>
        <w:rPr>
          <w:rFonts w:ascii="Times" w:eastAsia="Times New Roman" w:hAnsi="Times" w:cs="Arial"/>
          <w:sz w:val="24"/>
        </w:rPr>
        <w:t xml:space="preserve">cia </w:t>
      </w:r>
      <w:r w:rsidRPr="00190A8F">
        <w:rPr>
          <w:rFonts w:ascii="Times" w:eastAsia="Times New Roman" w:hAnsi="Times" w:cs="Arial"/>
          <w:sz w:val="24"/>
        </w:rPr>
        <w:t>prawidłowo wypełnionego wniosku.</w:t>
      </w:r>
    </w:p>
    <w:p w:rsidR="00190A8F" w:rsidRDefault="00190A8F" w:rsidP="00190A8F">
      <w:pPr>
        <w:widowControl/>
        <w:jc w:val="both"/>
        <w:rPr>
          <w:rFonts w:ascii="Times" w:eastAsia="Times New Roman" w:hAnsi="Times" w:cs="Arial"/>
          <w:sz w:val="24"/>
        </w:rPr>
      </w:pPr>
    </w:p>
    <w:p w:rsidR="00190A8F" w:rsidRPr="00B700FA" w:rsidRDefault="00190A8F" w:rsidP="00190A8F">
      <w:pPr>
        <w:widowControl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 xml:space="preserve">Mając na uwadze powyższe, aktualnie zasób kadrowy do obsługi systemu IOWISZ nie jest </w:t>
      </w:r>
      <w:r w:rsidRPr="00B700FA">
        <w:rPr>
          <w:rFonts w:ascii="Times New Roman" w:eastAsia="Times New Roman" w:hAnsi="Times New Roman"/>
          <w:sz w:val="24"/>
          <w:szCs w:val="24"/>
        </w:rPr>
        <w:br/>
        <w:t xml:space="preserve">w stanie zagwarantować terminowej obsługi wniosków. Biorąc pod uwagę </w:t>
      </w:r>
      <w:r w:rsidR="00D2712D">
        <w:rPr>
          <w:rFonts w:ascii="Times New Roman" w:eastAsia="Times New Roman" w:hAnsi="Times New Roman"/>
          <w:sz w:val="24"/>
          <w:szCs w:val="24"/>
        </w:rPr>
        <w:t>treść</w:t>
      </w:r>
      <w:r w:rsidR="00D2712D" w:rsidRPr="00B700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projektu ustawy w zakresie obowiązku uzyskania pozytywnej opinii dla podmiotów, które chcą </w:t>
      </w:r>
      <w:r w:rsidRPr="00B700FA">
        <w:rPr>
          <w:rFonts w:ascii="Times New Roman" w:eastAsia="Times New Roman" w:hAnsi="Times New Roman"/>
          <w:sz w:val="24"/>
          <w:szCs w:val="24"/>
        </w:rPr>
        <w:lastRenderedPageBreak/>
        <w:t>otrzymać dotację z budżetu państwa oraz harmonogram ogłaszania konkursów w ramach środków europejskich, należy spodziewać się wzrostu liczby składanych wniosków.</w:t>
      </w:r>
    </w:p>
    <w:p w:rsidR="00B700FA" w:rsidRPr="00B700FA" w:rsidRDefault="00B700FA" w:rsidP="00B700F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00FA" w:rsidRPr="00B700FA" w:rsidRDefault="00B700FA" w:rsidP="00B700F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Od</w:t>
      </w:r>
      <w:r w:rsidR="00F40E61">
        <w:rPr>
          <w:rFonts w:ascii="Times New Roman" w:eastAsia="Times New Roman" w:hAnsi="Times New Roman"/>
          <w:sz w:val="24"/>
          <w:szCs w:val="24"/>
        </w:rPr>
        <w:t xml:space="preserve"> początku funkcjonowania narzędzia IOWISZ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</w:t>
      </w:r>
      <w:r w:rsidR="00F40E61">
        <w:rPr>
          <w:rFonts w:ascii="Times New Roman" w:eastAsia="Times New Roman" w:hAnsi="Times New Roman"/>
          <w:sz w:val="24"/>
          <w:szCs w:val="24"/>
        </w:rPr>
        <w:t xml:space="preserve">podmioty wnioskujące </w:t>
      </w:r>
      <w:r w:rsidRPr="00B700FA">
        <w:rPr>
          <w:rFonts w:ascii="Times New Roman" w:eastAsia="Times New Roman" w:hAnsi="Times New Roman"/>
          <w:sz w:val="24"/>
          <w:szCs w:val="24"/>
        </w:rPr>
        <w:t>z</w:t>
      </w:r>
      <w:r w:rsidR="00F40E61">
        <w:rPr>
          <w:rFonts w:ascii="Times New Roman" w:eastAsia="Times New Roman" w:hAnsi="Times New Roman"/>
          <w:sz w:val="24"/>
          <w:szCs w:val="24"/>
        </w:rPr>
        <w:t>łożyły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1047 (z tego 780 w 2017 r.). Odpowiednio do Ministra Zdrowia złożono 175 (109) wniosków. Do Ministra Zdrowia złożono również 55 protestów od opinii wydanych w pierwszej instancji.</w:t>
      </w:r>
    </w:p>
    <w:p w:rsidR="00B700FA" w:rsidRPr="00B700FA" w:rsidRDefault="00B700FA" w:rsidP="00B700F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Potencjalni wnioskodawcy to łącznie 19 827 podmiotów leczniczych, z których:</w:t>
      </w:r>
    </w:p>
    <w:p w:rsidR="00B700FA" w:rsidRPr="00B700FA" w:rsidRDefault="00B700FA" w:rsidP="00D2712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18 600 podmiotów leczniczych udzielających świadczeń opieki zdrowotnej w trybie leczenie stacjonarne, ambulatoryjne (wg funkcji ochrony zdrowia HC 1.1-1.3);</w:t>
      </w:r>
    </w:p>
    <w:p w:rsidR="00B700FA" w:rsidRPr="00B700FA" w:rsidRDefault="00B700FA" w:rsidP="00D2712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5715 podmiotów leczniczych udzielających świadczeń opieki zdrowotnej w trybie rehabilitacji (wg funkcji ochrony zdrowia HC 2.1-2.4, 2.9);</w:t>
      </w:r>
    </w:p>
    <w:p w:rsidR="00B700FA" w:rsidRPr="00B700FA" w:rsidRDefault="00B700FA" w:rsidP="00D2712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2906 podmiotów leczniczych udzielających świadczeń opieki zdrowotnej w trybie długoterminowej opieki pielęgnacyjnej (wg funkcji ochrony zdrowia HC 3.1-3.4).</w:t>
      </w:r>
    </w:p>
    <w:p w:rsidR="00AE64E2" w:rsidRPr="00B700FA" w:rsidRDefault="00AE64E2" w:rsidP="00AE64E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 xml:space="preserve">Łączna wartość inwestycji, których dotyczą złożone dotychczas wnioski to 19.204 mln zł (8.362 mln zł z ww. kwoty podmioty wnioskujące chcą pozyskać ze środków europejskich). Powyższe odnosi się do łącznej wartości inwestycji, które konkurują o te same środki, a zatem nie wdaje odpowiedzi ile miałoby zostać alokowane po otrzymaniu pozytywnej opinii o celowości inwestycji przez wszystkie inwestycje, niemniej jednak wydaje się, że obrazuje skalę oddziaływania </w:t>
      </w:r>
      <w:r w:rsidR="00D2712D" w:rsidRPr="00B700FA">
        <w:rPr>
          <w:rFonts w:ascii="Times New Roman" w:eastAsia="Times New Roman" w:hAnsi="Times New Roman"/>
          <w:sz w:val="24"/>
          <w:szCs w:val="24"/>
        </w:rPr>
        <w:t>instrumentu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 IOWISZ, tj. to w jakim zakresie minister właściwy do spraw zdrowia oraz wojewodowie uzyskali dodatkowe, efektywne narzędzie zarządzania systemem ochrony zdrowia. </w:t>
      </w:r>
    </w:p>
    <w:p w:rsidR="00905451" w:rsidRPr="00B700FA" w:rsidRDefault="00905451" w:rsidP="00905451">
      <w:pPr>
        <w:tabs>
          <w:tab w:val="left" w:pos="40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 xml:space="preserve">W związku z tym, że nowelizacji </w:t>
      </w:r>
      <w:r w:rsidR="00856416">
        <w:rPr>
          <w:rFonts w:ascii="Times New Roman" w:eastAsia="Times New Roman" w:hAnsi="Times New Roman"/>
          <w:sz w:val="24"/>
          <w:szCs w:val="24"/>
        </w:rPr>
        <w:t xml:space="preserve">dokonuje się także w 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art. 95h oraz 95d ustawy nowelizowanej (do treści którego art. 95h odsyła), w momencie wejścia w życie ustawy nowelizującej </w:t>
      </w:r>
      <w:r w:rsidR="00D2712D">
        <w:rPr>
          <w:rFonts w:ascii="Times New Roman" w:eastAsia="Times New Roman" w:hAnsi="Times New Roman"/>
          <w:sz w:val="24"/>
          <w:szCs w:val="24"/>
        </w:rPr>
        <w:t>nastąpi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uchylenie rozporządzenia Ministra Zdrowia w sprawie wzoru formularza Instrumentu Oceny Wniosków Inwestycyjnych w Sektorze Zdrowia. Projektodawca proponuje (w art. </w:t>
      </w:r>
      <w:r w:rsidR="00190A8F" w:rsidRPr="00B700FA">
        <w:rPr>
          <w:rFonts w:ascii="Times New Roman" w:eastAsia="Times New Roman" w:hAnsi="Times New Roman"/>
          <w:sz w:val="24"/>
          <w:szCs w:val="24"/>
        </w:rPr>
        <w:t>4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projektu) wyjątkowo tymczasowe utrzymanie dotychczas obowiązującego rozporządzenia w mocy, przez okres nie dłuższy niż 12 miesięcy, do czasu wydania nowego rozporządzenia Ministra Zdrowia w przedmiotowym zakresie, odpowiednio skorygowanego i dostosowanego do nowego (proponowanego) brzmienia art. 95d. Motywuje się to potrzebą zapewnienia dostatecznie długiego okresu czasu na poddanie projektowanego rozporządzenia pełnej procedurze legislacyjnej. Wskazuje się przy tym, że z formalnego punktu widzenia nie ma podstaw, aby rzeczony akt wykonawczy procedować równolegle z ustawą nowelizującą, ponieważ wyłączną podstawą do podjęcia prac w </w:t>
      </w:r>
      <w:r w:rsidRPr="00B700FA">
        <w:rPr>
          <w:rFonts w:ascii="Times New Roman" w:eastAsia="Times New Roman" w:hAnsi="Times New Roman"/>
          <w:sz w:val="24"/>
          <w:szCs w:val="24"/>
        </w:rPr>
        <w:lastRenderedPageBreak/>
        <w:t xml:space="preserve">zakresie realizacji zmienianego upoważnienia ustawowego, jest jego ukonstytuowanie, co nastąpi dopiero wraz </w:t>
      </w:r>
      <w:r w:rsidRPr="00B700FA">
        <w:rPr>
          <w:rFonts w:ascii="Times New Roman" w:eastAsia="Times New Roman" w:hAnsi="Times New Roman"/>
          <w:sz w:val="24"/>
          <w:szCs w:val="24"/>
        </w:rPr>
        <w:br/>
        <w:t xml:space="preserve">z uchwaleniem ustawy. </w:t>
      </w:r>
    </w:p>
    <w:p w:rsidR="00905451" w:rsidRPr="00B700FA" w:rsidRDefault="00905451" w:rsidP="00905451">
      <w:pPr>
        <w:tabs>
          <w:tab w:val="left" w:pos="40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 xml:space="preserve">W art. </w:t>
      </w:r>
      <w:r w:rsidR="00190A8F" w:rsidRPr="00B700FA">
        <w:rPr>
          <w:rFonts w:ascii="Times New Roman" w:eastAsia="Times New Roman" w:hAnsi="Times New Roman"/>
          <w:sz w:val="24"/>
          <w:szCs w:val="24"/>
        </w:rPr>
        <w:t>5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ustawy nowelizującej proponuje się zawrzeć przepis intertemporalny, zgodnie </w:t>
      </w:r>
      <w:r w:rsidRPr="00B700FA">
        <w:rPr>
          <w:rFonts w:ascii="Times New Roman" w:eastAsia="Times New Roman" w:hAnsi="Times New Roman"/>
          <w:sz w:val="24"/>
          <w:szCs w:val="24"/>
        </w:rPr>
        <w:br/>
        <w:t xml:space="preserve">z którym do wszczętych a niezakończonych postępowań o wydanie opinii o celowości inwestycji, zastosowanie będą miały przepisy dotychczasowe. </w:t>
      </w:r>
    </w:p>
    <w:p w:rsidR="00905451" w:rsidRPr="00B700FA" w:rsidRDefault="00905451" w:rsidP="00905451">
      <w:pPr>
        <w:tabs>
          <w:tab w:val="left" w:pos="40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05451" w:rsidRPr="00B700FA" w:rsidRDefault="00905451" w:rsidP="00905451">
      <w:pPr>
        <w:tabs>
          <w:tab w:val="left" w:pos="40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 xml:space="preserve">W art. </w:t>
      </w:r>
      <w:r w:rsidR="00190A8F" w:rsidRPr="00B700FA">
        <w:rPr>
          <w:rFonts w:ascii="Times New Roman" w:eastAsia="Times New Roman" w:hAnsi="Times New Roman"/>
          <w:sz w:val="24"/>
          <w:szCs w:val="24"/>
        </w:rPr>
        <w:t>6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 ustawy nowelizującej proponuje się, aby ustawa weszła w życie – w części </w:t>
      </w:r>
      <w:r w:rsidRPr="00B700FA">
        <w:rPr>
          <w:rFonts w:ascii="Times New Roman" w:eastAsia="Times New Roman" w:hAnsi="Times New Roman"/>
          <w:sz w:val="24"/>
          <w:szCs w:val="24"/>
        </w:rPr>
        <w:br/>
        <w:t xml:space="preserve">– po upływie 30 dni od dnia ogłoszenia, zaś w pozostałej części z dniem 1 stycznia </w:t>
      </w:r>
      <w:r w:rsidRPr="00B700FA">
        <w:rPr>
          <w:rFonts w:ascii="Times New Roman" w:eastAsia="Times New Roman" w:hAnsi="Times New Roman"/>
          <w:sz w:val="24"/>
          <w:szCs w:val="24"/>
        </w:rPr>
        <w:br/>
        <w:t xml:space="preserve">2018 r. </w:t>
      </w:r>
    </w:p>
    <w:p w:rsidR="00905451" w:rsidRPr="00B700FA" w:rsidRDefault="00905451" w:rsidP="00905451">
      <w:pPr>
        <w:tabs>
          <w:tab w:val="left" w:pos="40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Taki zabieg prawodawczy pozostaje w zgodzie z art. 4 ust. 2 ustawy z dnia 20 lipca 2000 r. o ogłaszaniu aktów normatywnych i ni</w:t>
      </w:r>
      <w:r w:rsidR="00856416">
        <w:rPr>
          <w:rFonts w:ascii="Times New Roman" w:eastAsia="Times New Roman" w:hAnsi="Times New Roman"/>
          <w:sz w:val="24"/>
          <w:szCs w:val="24"/>
        </w:rPr>
        <w:t xml:space="preserve">ektórych innych aktów prawnych </w:t>
      </w:r>
      <w:r w:rsidRPr="00B700FA">
        <w:rPr>
          <w:rFonts w:ascii="Times New Roman" w:eastAsia="Times New Roman" w:hAnsi="Times New Roman"/>
          <w:sz w:val="24"/>
          <w:szCs w:val="24"/>
        </w:rPr>
        <w:t xml:space="preserve">(Dz. U. z 2016 r. poz. 296 i 1579). </w:t>
      </w:r>
    </w:p>
    <w:p w:rsidR="00905451" w:rsidRPr="001C36DD" w:rsidRDefault="00905451" w:rsidP="00905451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B700FA">
        <w:rPr>
          <w:rFonts w:ascii="Times New Roman" w:eastAsia="Times New Roman" w:hAnsi="Times New Roman"/>
          <w:sz w:val="24"/>
          <w:szCs w:val="24"/>
        </w:rPr>
        <w:t>Jak się wydaje, przyjęciu takiego rozwiązania nie stoją na</w:t>
      </w:r>
      <w:r w:rsidRPr="001C36DD">
        <w:rPr>
          <w:rFonts w:ascii="Times" w:eastAsia="Times New Roman" w:hAnsi="Times" w:cs="Arial"/>
          <w:sz w:val="24"/>
        </w:rPr>
        <w:t xml:space="preserve"> przeszkodzie zasady demokratycznego państwa prawnego</w:t>
      </w:r>
      <w:r>
        <w:rPr>
          <w:rFonts w:ascii="Times" w:eastAsia="Times New Roman" w:hAnsi="Times" w:cs="Arial"/>
          <w:sz w:val="24"/>
        </w:rPr>
        <w:t>, ponieważ</w:t>
      </w:r>
      <w:r w:rsidRPr="001C36DD">
        <w:rPr>
          <w:rFonts w:ascii="Times" w:eastAsia="Times New Roman" w:hAnsi="Times" w:cs="Arial"/>
          <w:sz w:val="24"/>
        </w:rPr>
        <w:t xml:space="preserve"> </w:t>
      </w:r>
      <w:r>
        <w:rPr>
          <w:rFonts w:ascii="Times" w:eastAsia="Times New Roman" w:hAnsi="Times" w:cs="Arial"/>
          <w:sz w:val="24"/>
        </w:rPr>
        <w:t>p</w:t>
      </w:r>
      <w:r w:rsidRPr="001C36DD">
        <w:rPr>
          <w:rFonts w:ascii="Times" w:eastAsia="Times New Roman" w:hAnsi="Times" w:cs="Arial"/>
          <w:sz w:val="24"/>
        </w:rPr>
        <w:t>rzepis</w:t>
      </w:r>
      <w:r>
        <w:rPr>
          <w:rFonts w:ascii="Times" w:eastAsia="Times New Roman" w:hAnsi="Times" w:cs="Arial"/>
          <w:sz w:val="24"/>
        </w:rPr>
        <w:t>y, w odniesieniu do których</w:t>
      </w:r>
      <w:r w:rsidRPr="001C36DD">
        <w:rPr>
          <w:rFonts w:ascii="Times" w:eastAsia="Times New Roman" w:hAnsi="Times" w:cs="Arial"/>
          <w:sz w:val="24"/>
        </w:rPr>
        <w:t xml:space="preserve"> przewidziano</w:t>
      </w:r>
      <w:r>
        <w:rPr>
          <w:rFonts w:ascii="Times" w:eastAsia="Times New Roman" w:hAnsi="Times" w:cs="Arial"/>
          <w:sz w:val="24"/>
        </w:rPr>
        <w:t>,</w:t>
      </w:r>
      <w:r w:rsidRPr="001C36DD">
        <w:rPr>
          <w:rFonts w:ascii="Times" w:eastAsia="Times New Roman" w:hAnsi="Times" w:cs="Arial"/>
          <w:sz w:val="24"/>
        </w:rPr>
        <w:t xml:space="preserve"> </w:t>
      </w:r>
      <w:r>
        <w:rPr>
          <w:rFonts w:ascii="Times" w:eastAsia="Times New Roman" w:hAnsi="Times" w:cs="Arial"/>
          <w:sz w:val="24"/>
        </w:rPr>
        <w:t>że wejdą w życie po upływie 30 dni od dnia ogłoszenia</w:t>
      </w:r>
      <w:r w:rsidRPr="001C36DD">
        <w:rPr>
          <w:rFonts w:ascii="Times" w:eastAsia="Times New Roman" w:hAnsi="Times" w:cs="Arial"/>
          <w:sz w:val="24"/>
        </w:rPr>
        <w:t xml:space="preserve">, </w:t>
      </w:r>
      <w:r>
        <w:rPr>
          <w:rFonts w:ascii="Times" w:eastAsia="Times New Roman" w:hAnsi="Times" w:cs="Arial"/>
          <w:sz w:val="24"/>
        </w:rPr>
        <w:t>nie nakładają obowiązków, dostosowanie się do których wymagałoby czasu.</w:t>
      </w:r>
      <w:r w:rsidRPr="001C36DD">
        <w:rPr>
          <w:rFonts w:ascii="Times" w:eastAsia="Times New Roman" w:hAnsi="Times" w:cs="Arial"/>
          <w:sz w:val="24"/>
        </w:rPr>
        <w:t xml:space="preserve"> </w:t>
      </w:r>
    </w:p>
    <w:p w:rsidR="00905451" w:rsidRPr="001C36DD" w:rsidRDefault="00905451" w:rsidP="00905451">
      <w:pPr>
        <w:tabs>
          <w:tab w:val="left" w:pos="408"/>
        </w:tabs>
        <w:jc w:val="both"/>
        <w:rPr>
          <w:rFonts w:ascii="Times" w:eastAsia="Times New Roman" w:hAnsi="Times" w:cs="Arial"/>
          <w:sz w:val="24"/>
        </w:rPr>
      </w:pPr>
    </w:p>
    <w:p w:rsidR="008C6423" w:rsidRDefault="00D2712D" w:rsidP="008C6423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>
        <w:rPr>
          <w:rFonts w:ascii="Times" w:eastAsia="Times New Roman" w:hAnsi="Times" w:cs="Arial"/>
          <w:sz w:val="24"/>
        </w:rPr>
        <w:t>P</w:t>
      </w:r>
      <w:r w:rsidR="00905451" w:rsidRPr="001C36DD">
        <w:rPr>
          <w:rFonts w:ascii="Times" w:eastAsia="Times New Roman" w:hAnsi="Times" w:cs="Arial"/>
          <w:sz w:val="24"/>
        </w:rPr>
        <w:t xml:space="preserve">rojektowane zmiany legislacyjne nie określają, ani nie modyfikują warunków wykonywania działalności gospodarczej, nie ma potrzeby, aby moment wejścia w życie projektowanej ustawy określać </w:t>
      </w:r>
      <w:r w:rsidR="00905451">
        <w:rPr>
          <w:rFonts w:ascii="Times" w:eastAsia="Times New Roman" w:hAnsi="Times" w:cs="Arial"/>
          <w:sz w:val="24"/>
        </w:rPr>
        <w:t xml:space="preserve">ściśle </w:t>
      </w:r>
      <w:r w:rsidR="00905451" w:rsidRPr="001C36DD">
        <w:rPr>
          <w:rFonts w:ascii="Times" w:eastAsia="Times New Roman" w:hAnsi="Times" w:cs="Arial"/>
          <w:sz w:val="24"/>
        </w:rPr>
        <w:t xml:space="preserve">w sposób zgodny z § 1 uchwały nr 20 Rady Ministrów z dnia 18 lutego 2014 r. w sprawie zaleceń ujednolicenia terminów wejścia w życie niektórych aktów normatywnych (M. P. poz. 205).  </w:t>
      </w:r>
    </w:p>
    <w:p w:rsidR="00905451" w:rsidRPr="001C36DD" w:rsidRDefault="008C6423" w:rsidP="008C6423">
      <w:pPr>
        <w:tabs>
          <w:tab w:val="left" w:pos="408"/>
        </w:tabs>
        <w:spacing w:line="360" w:lineRule="auto"/>
        <w:jc w:val="both"/>
        <w:rPr>
          <w:rFonts w:ascii="Times" w:eastAsia="Times New Roman" w:hAnsi="Times" w:cs="Arial"/>
          <w:sz w:val="24"/>
        </w:rPr>
      </w:pPr>
      <w:r w:rsidRPr="008C6423">
        <w:rPr>
          <w:rFonts w:ascii="Times" w:eastAsia="Times New Roman" w:hAnsi="Times" w:cs="Arial"/>
          <w:sz w:val="24"/>
        </w:rPr>
        <w:t>Nie przewiduje się istotnego wpływu projektowanych zmian na funkcjonowania małych</w:t>
      </w:r>
      <w:r>
        <w:rPr>
          <w:rFonts w:ascii="Times" w:eastAsia="Times New Roman" w:hAnsi="Times" w:cs="Arial"/>
          <w:sz w:val="24"/>
        </w:rPr>
        <w:t>,</w:t>
      </w:r>
      <w:r w:rsidRPr="008C6423">
        <w:rPr>
          <w:rFonts w:ascii="Times" w:eastAsia="Times New Roman" w:hAnsi="Times" w:cs="Arial"/>
          <w:sz w:val="24"/>
        </w:rPr>
        <w:t xml:space="preserve"> </w:t>
      </w:r>
      <w:r>
        <w:rPr>
          <w:rFonts w:ascii="Times" w:eastAsia="Times New Roman" w:hAnsi="Times" w:cs="Arial"/>
          <w:sz w:val="24"/>
        </w:rPr>
        <w:t>an</w:t>
      </w:r>
      <w:r w:rsidRPr="008C6423">
        <w:rPr>
          <w:rFonts w:ascii="Times" w:eastAsia="Times New Roman" w:hAnsi="Times" w:cs="Arial"/>
          <w:sz w:val="24"/>
        </w:rPr>
        <w:t xml:space="preserve">i </w:t>
      </w:r>
      <w:proofErr w:type="spellStart"/>
      <w:r w:rsidRPr="008C6423">
        <w:rPr>
          <w:rFonts w:ascii="Times" w:eastAsia="Times New Roman" w:hAnsi="Times" w:cs="Arial"/>
          <w:sz w:val="24"/>
        </w:rPr>
        <w:t>mikroprzedsiębiorców</w:t>
      </w:r>
      <w:proofErr w:type="spellEnd"/>
      <w:r w:rsidRPr="008C6423">
        <w:rPr>
          <w:rFonts w:ascii="Times" w:eastAsia="Times New Roman" w:hAnsi="Times" w:cs="Arial"/>
          <w:sz w:val="24"/>
        </w:rPr>
        <w:t>, co wynika ze specyfiki udzielania świadczeń w zakresach objętych opiniowaniem. Zasadniczo będą one realizowane podmiotach, które z punktu widzenia przyjętego podziału przedsiębiorców w oparciu o wielkość zatrudnienia,  </w:t>
      </w:r>
      <w:r w:rsidR="002D1C05" w:rsidRPr="008C6423">
        <w:rPr>
          <w:rFonts w:ascii="Times" w:eastAsia="Times New Roman" w:hAnsi="Times" w:cs="Arial"/>
          <w:sz w:val="24"/>
        </w:rPr>
        <w:t xml:space="preserve">będą </w:t>
      </w:r>
      <w:r w:rsidRPr="008C6423">
        <w:rPr>
          <w:rFonts w:ascii="Times" w:eastAsia="Times New Roman" w:hAnsi="Times" w:cs="Arial"/>
          <w:sz w:val="24"/>
        </w:rPr>
        <w:t>kwalifikowane na</w:t>
      </w:r>
      <w:r>
        <w:rPr>
          <w:rFonts w:ascii="Times" w:eastAsia="Times New Roman" w:hAnsi="Times" w:cs="Arial"/>
          <w:sz w:val="24"/>
        </w:rPr>
        <w:t xml:space="preserve">jczęściej jako duzi, względnie – </w:t>
      </w:r>
      <w:r w:rsidRPr="008C6423">
        <w:rPr>
          <w:rFonts w:ascii="Times" w:eastAsia="Times New Roman" w:hAnsi="Times" w:cs="Arial"/>
          <w:sz w:val="24"/>
        </w:rPr>
        <w:t>średni przedsiębiorcy. Jeśli chodzi o tych ostatnich, to projektowane zmiany będą ich dotyczyły, a przejawiać się to będzie w konieczności dostosowania się do nowych regulacji, o ile oczywiście przedsiębiorcy ci będą zainteresowani aplikowaniem o wydanie opinii.</w:t>
      </w:r>
    </w:p>
    <w:p w:rsidR="00905451" w:rsidRDefault="00905451" w:rsidP="00905451">
      <w:pPr>
        <w:pStyle w:val="ARTartustawynprozporzdzenia"/>
        <w:tabs>
          <w:tab w:val="left" w:pos="4200"/>
        </w:tabs>
        <w:ind w:firstLine="0"/>
      </w:pPr>
      <w:r w:rsidRPr="001C36DD">
        <w:t xml:space="preserve">Projektowana ustawa nie zawiera przepisów technicznych w rozumieniu przepisów rozporządzenia Rady Ministrów z dnia 23 grudnia 2002 r. w sprawie sposobu funkcjonowania krajowego systemu notyfikacji norm i aktów prawnych (Dz. U. poz. 2039 </w:t>
      </w:r>
      <w:r w:rsidRPr="001C36DD">
        <w:lastRenderedPageBreak/>
        <w:t xml:space="preserve">oraz z 2004 r. </w:t>
      </w:r>
      <w:r w:rsidRPr="001C36DD">
        <w:br/>
        <w:t>poz. 597) i w związku z tym nie podlega procedurze notyfikacji.</w:t>
      </w:r>
    </w:p>
    <w:p w:rsidR="00905451" w:rsidRPr="001C36DD" w:rsidRDefault="00905451" w:rsidP="00905451">
      <w:pPr>
        <w:pStyle w:val="ARTartustawynprozporzdzenia"/>
        <w:tabs>
          <w:tab w:val="left" w:pos="4200"/>
        </w:tabs>
        <w:ind w:firstLine="0"/>
      </w:pPr>
      <w:r>
        <w:t>Projekt nie jest objęty prawem Unii Europejskiej.</w:t>
      </w:r>
    </w:p>
    <w:p w:rsidR="00905451" w:rsidRPr="007C38C8" w:rsidRDefault="00905451" w:rsidP="00905451">
      <w:pPr>
        <w:rPr>
          <w:rFonts w:ascii="Times" w:eastAsia="Times New Roman" w:hAnsi="Times" w:cs="Arial"/>
          <w:sz w:val="24"/>
        </w:rPr>
      </w:pPr>
    </w:p>
    <w:p w:rsidR="008D517A" w:rsidRDefault="008D517A"/>
    <w:sectPr w:rsidR="008D517A" w:rsidSect="00035E3C">
      <w:headerReference w:type="default" r:id="rId8"/>
      <w:footnotePr>
        <w:numRestart w:val="eachSect"/>
      </w:footnotePr>
      <w:pgSz w:w="11906" w:h="16838"/>
      <w:pgMar w:top="1418" w:right="1558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22" w:rsidRDefault="00696522">
      <w:r>
        <w:separator/>
      </w:r>
    </w:p>
  </w:endnote>
  <w:endnote w:type="continuationSeparator" w:id="0">
    <w:p w:rsidR="00696522" w:rsidRDefault="0069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22" w:rsidRDefault="00696522">
      <w:r>
        <w:separator/>
      </w:r>
    </w:p>
  </w:footnote>
  <w:footnote w:type="continuationSeparator" w:id="0">
    <w:p w:rsidR="00696522" w:rsidRDefault="0069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90545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0785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245"/>
    <w:multiLevelType w:val="hybridMultilevel"/>
    <w:tmpl w:val="4EB6F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00C5"/>
    <w:multiLevelType w:val="hybridMultilevel"/>
    <w:tmpl w:val="FE467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8"/>
    <w:rsid w:val="00035E3C"/>
    <w:rsid w:val="00040D62"/>
    <w:rsid w:val="00057458"/>
    <w:rsid w:val="00151854"/>
    <w:rsid w:val="00190A8F"/>
    <w:rsid w:val="002C14B8"/>
    <w:rsid w:val="002C78AE"/>
    <w:rsid w:val="002D1C05"/>
    <w:rsid w:val="00324BB1"/>
    <w:rsid w:val="00395D72"/>
    <w:rsid w:val="003D0054"/>
    <w:rsid w:val="003D59EC"/>
    <w:rsid w:val="003E5BC1"/>
    <w:rsid w:val="00431383"/>
    <w:rsid w:val="0044449A"/>
    <w:rsid w:val="00497925"/>
    <w:rsid w:val="004B787D"/>
    <w:rsid w:val="0054384B"/>
    <w:rsid w:val="0057092A"/>
    <w:rsid w:val="005A55E9"/>
    <w:rsid w:val="005A7C47"/>
    <w:rsid w:val="005E2F86"/>
    <w:rsid w:val="005E30FE"/>
    <w:rsid w:val="006433E2"/>
    <w:rsid w:val="00696522"/>
    <w:rsid w:val="007300BF"/>
    <w:rsid w:val="00732557"/>
    <w:rsid w:val="00764DA5"/>
    <w:rsid w:val="00785651"/>
    <w:rsid w:val="00856416"/>
    <w:rsid w:val="008A0785"/>
    <w:rsid w:val="008C50AD"/>
    <w:rsid w:val="008C6423"/>
    <w:rsid w:val="008D517A"/>
    <w:rsid w:val="00905451"/>
    <w:rsid w:val="009A1B5E"/>
    <w:rsid w:val="00A76A8D"/>
    <w:rsid w:val="00AE64E2"/>
    <w:rsid w:val="00B11D51"/>
    <w:rsid w:val="00B700FA"/>
    <w:rsid w:val="00BB38FD"/>
    <w:rsid w:val="00C326A8"/>
    <w:rsid w:val="00C54B59"/>
    <w:rsid w:val="00CD2E6A"/>
    <w:rsid w:val="00D073ED"/>
    <w:rsid w:val="00D2712D"/>
    <w:rsid w:val="00D908CC"/>
    <w:rsid w:val="00DD4494"/>
    <w:rsid w:val="00E53752"/>
    <w:rsid w:val="00EA7553"/>
    <w:rsid w:val="00F255CA"/>
    <w:rsid w:val="00F37907"/>
    <w:rsid w:val="00F40E61"/>
    <w:rsid w:val="00F77682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51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0545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5451"/>
    <w:rPr>
      <w:rFonts w:ascii="Times" w:eastAsiaTheme="minorEastAsia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0545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5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5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E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51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0545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5451"/>
    <w:rPr>
      <w:rFonts w:ascii="Times" w:eastAsiaTheme="minorEastAsia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0545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5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5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E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Rudek Przemysław</dc:creator>
  <cp:lastModifiedBy>Mirosław Usidus</cp:lastModifiedBy>
  <cp:revision>2</cp:revision>
  <dcterms:created xsi:type="dcterms:W3CDTF">2017-08-16T08:34:00Z</dcterms:created>
  <dcterms:modified xsi:type="dcterms:W3CDTF">2017-08-16T08:34:00Z</dcterms:modified>
</cp:coreProperties>
</file>