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B23" w:rsidRPr="004D5083" w:rsidRDefault="006A6B23" w:rsidP="006A6B23">
      <w:pPr>
        <w:pStyle w:val="OZNZACZNIKAwskazanienrzacznika"/>
        <w:rPr>
          <w:rFonts w:cs="Times New Roman"/>
          <w:sz w:val="22"/>
          <w:szCs w:val="22"/>
        </w:rPr>
      </w:pPr>
      <w:bookmarkStart w:id="0" w:name="_GoBack"/>
      <w:bookmarkEnd w:id="0"/>
      <w:r w:rsidRPr="004D5083">
        <w:rPr>
          <w:rFonts w:cs="Times New Roman"/>
          <w:sz w:val="22"/>
          <w:szCs w:val="22"/>
        </w:rPr>
        <w:t xml:space="preserve">Załączniki do rozporządzenia Ministra Zdrowia </w:t>
      </w:r>
    </w:p>
    <w:p w:rsidR="006A6B23" w:rsidRPr="004D5083" w:rsidRDefault="006A6B23" w:rsidP="006A6B23">
      <w:pPr>
        <w:pStyle w:val="OZNZACZNIKAwskazanienrzacznika"/>
        <w:rPr>
          <w:rFonts w:cs="Times New Roman"/>
          <w:sz w:val="22"/>
          <w:szCs w:val="22"/>
        </w:rPr>
      </w:pPr>
      <w:r w:rsidRPr="004D5083">
        <w:rPr>
          <w:rFonts w:cs="Times New Roman"/>
          <w:sz w:val="22"/>
          <w:szCs w:val="22"/>
        </w:rPr>
        <w:t xml:space="preserve">                                                                                             z dnia ……..… 201</w:t>
      </w:r>
      <w:r w:rsidR="009C252B">
        <w:rPr>
          <w:rFonts w:cs="Times New Roman"/>
          <w:sz w:val="22"/>
          <w:szCs w:val="22"/>
        </w:rPr>
        <w:t>8</w:t>
      </w:r>
      <w:r w:rsidRPr="004D5083">
        <w:rPr>
          <w:rFonts w:cs="Times New Roman"/>
          <w:sz w:val="22"/>
          <w:szCs w:val="22"/>
        </w:rPr>
        <w:t xml:space="preserve"> r. (poz. …)</w:t>
      </w:r>
    </w:p>
    <w:p w:rsidR="00565AF0" w:rsidRPr="004D5083" w:rsidRDefault="00565AF0" w:rsidP="006A6B23">
      <w:pPr>
        <w:pStyle w:val="OZNZACZNIKAwskazanienrzacznika"/>
        <w:rPr>
          <w:rFonts w:cs="Times New Roman"/>
          <w:sz w:val="22"/>
          <w:szCs w:val="22"/>
        </w:rPr>
      </w:pPr>
      <w:r w:rsidRPr="004D5083">
        <w:rPr>
          <w:rFonts w:cs="Times New Roman"/>
          <w:sz w:val="22"/>
          <w:szCs w:val="22"/>
        </w:rPr>
        <w:t>Załącznik nr 1</w:t>
      </w:r>
    </w:p>
    <w:p w:rsidR="002A1B01" w:rsidRDefault="002A1B01" w:rsidP="00040A2C">
      <w:pPr>
        <w:spacing w:before="240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„Załącznik nr 2</w:t>
      </w:r>
    </w:p>
    <w:p w:rsidR="00565AF0" w:rsidRPr="001063A3" w:rsidRDefault="00565AF0" w:rsidP="00565AF0">
      <w:pPr>
        <w:spacing w:before="240"/>
        <w:jc w:val="center"/>
        <w:rPr>
          <w:rFonts w:ascii="Times New Roman" w:hAnsi="Times New Roman"/>
        </w:rPr>
      </w:pPr>
      <w:r w:rsidRPr="001063A3">
        <w:rPr>
          <w:rFonts w:ascii="Times New Roman" w:hAnsi="Times New Roman"/>
          <w:b/>
          <w:bCs/>
        </w:rPr>
        <w:t>SZCZEGÓŁOWE WARUNKI BADANIA LEKARSKIEGO W ZAKRESIE NARZĄDU WZROKU</w:t>
      </w:r>
    </w:p>
    <w:p w:rsidR="00565AF0" w:rsidRPr="001063A3" w:rsidRDefault="00565AF0" w:rsidP="00565AF0">
      <w:pPr>
        <w:jc w:val="both"/>
        <w:rPr>
          <w:rFonts w:ascii="Times New Roman" w:hAnsi="Times New Roman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"/>
        <w:gridCol w:w="2623"/>
        <w:gridCol w:w="2578"/>
        <w:gridCol w:w="2333"/>
        <w:gridCol w:w="1796"/>
        <w:gridCol w:w="2332"/>
        <w:gridCol w:w="1795"/>
      </w:tblGrid>
      <w:tr w:rsidR="00ED258D" w:rsidRPr="00097013" w:rsidTr="00785624">
        <w:trPr>
          <w:cantSplit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58D" w:rsidRPr="00097013" w:rsidRDefault="00ED258D" w:rsidP="004368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7013">
              <w:rPr>
                <w:rFonts w:ascii="Times New Roman" w:hAnsi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58D" w:rsidRPr="00097013" w:rsidRDefault="00ED258D" w:rsidP="004368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7013">
              <w:rPr>
                <w:rFonts w:ascii="Times New Roman" w:hAnsi="Times New Roman"/>
                <w:b/>
                <w:bCs/>
                <w:sz w:val="18"/>
                <w:szCs w:val="18"/>
              </w:rPr>
              <w:t>Osoby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58D" w:rsidRPr="00097013" w:rsidRDefault="00ED258D" w:rsidP="004368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7013">
              <w:rPr>
                <w:rFonts w:ascii="Times New Roman" w:hAnsi="Times New Roman"/>
                <w:b/>
                <w:bCs/>
                <w:sz w:val="18"/>
                <w:szCs w:val="18"/>
              </w:rPr>
              <w:t>Ostrość wzroku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58D" w:rsidRPr="00097013" w:rsidRDefault="00ED258D" w:rsidP="004368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7013">
              <w:rPr>
                <w:rFonts w:ascii="Times New Roman" w:hAnsi="Times New Roman"/>
                <w:b/>
                <w:bCs/>
                <w:sz w:val="18"/>
                <w:szCs w:val="18"/>
              </w:rPr>
              <w:t>Korekcja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58D" w:rsidRPr="00097013" w:rsidRDefault="00ED258D" w:rsidP="004368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7013">
              <w:rPr>
                <w:rFonts w:ascii="Times New Roman" w:hAnsi="Times New Roman"/>
                <w:b/>
                <w:bCs/>
                <w:sz w:val="18"/>
                <w:szCs w:val="18"/>
              </w:rPr>
              <w:t>Rozpoznawanie barw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58D" w:rsidRPr="00097013" w:rsidRDefault="00ED258D" w:rsidP="004368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7013">
              <w:rPr>
                <w:rFonts w:ascii="Times New Roman" w:hAnsi="Times New Roman"/>
                <w:b/>
                <w:bCs/>
                <w:sz w:val="18"/>
                <w:szCs w:val="18"/>
              </w:rPr>
              <w:t>Pole widzenia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58D" w:rsidRPr="00097013" w:rsidRDefault="00ED258D" w:rsidP="008F61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7013">
              <w:rPr>
                <w:rFonts w:ascii="Times New Roman" w:hAnsi="Times New Roman"/>
                <w:b/>
                <w:bCs/>
                <w:sz w:val="18"/>
                <w:szCs w:val="18"/>
              </w:rPr>
              <w:t>Widzenie zmierzchowe i wrażliwość na olśnienie</w:t>
            </w:r>
          </w:p>
          <w:p w:rsidR="00ED258D" w:rsidRPr="00097013" w:rsidRDefault="00ED258D" w:rsidP="00436845">
            <w:pPr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097013">
              <w:rPr>
                <w:rFonts w:ascii="Times New Roman" w:hAnsi="Times New Roman"/>
                <w:b/>
                <w:bCs/>
                <w:sz w:val="18"/>
                <w:szCs w:val="18"/>
              </w:rPr>
              <w:t>Wrażliwość na kontrast</w:t>
            </w:r>
            <w:r w:rsidRPr="00097013">
              <w:rPr>
                <w:rFonts w:ascii="Times New Roman" w:hAnsi="Times New Roman"/>
                <w:b/>
                <w:bCs/>
                <w:sz w:val="18"/>
                <w:szCs w:val="18"/>
                <w:vertAlign w:val="superscript"/>
              </w:rPr>
              <w:t>*)</w:t>
            </w:r>
          </w:p>
        </w:tc>
      </w:tr>
      <w:tr w:rsidR="00ED258D" w:rsidRPr="00097013" w:rsidTr="00785624">
        <w:trPr>
          <w:cantSplit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D" w:rsidRPr="00097013" w:rsidRDefault="00ED258D" w:rsidP="008F61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70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58D" w:rsidRPr="00097013" w:rsidRDefault="00ED258D" w:rsidP="008F61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701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58D" w:rsidRPr="00097013" w:rsidRDefault="00ED258D" w:rsidP="008F61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70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58D" w:rsidRPr="00097013" w:rsidRDefault="00ED258D" w:rsidP="008F61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701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58D" w:rsidRPr="00097013" w:rsidRDefault="00ED258D" w:rsidP="008F61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701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58D" w:rsidRPr="00097013" w:rsidRDefault="00ED258D" w:rsidP="008F61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70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58D" w:rsidRPr="00097013" w:rsidRDefault="00ED258D" w:rsidP="008F61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701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ED258D" w:rsidRPr="00097013" w:rsidTr="00785624">
        <w:trPr>
          <w:cantSplit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58D" w:rsidRPr="00097013" w:rsidDel="008903EE" w:rsidRDefault="00ED258D" w:rsidP="001063A3">
            <w:pPr>
              <w:pStyle w:val="Akapitzli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7013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D258D" w:rsidRPr="00097013" w:rsidRDefault="00ED258D" w:rsidP="00ED258D">
            <w:pPr>
              <w:rPr>
                <w:rFonts w:ascii="Times New Roman" w:hAnsi="Times New Roman"/>
                <w:sz w:val="18"/>
                <w:szCs w:val="18"/>
              </w:rPr>
            </w:pPr>
            <w:r w:rsidRPr="00097013">
              <w:rPr>
                <w:rFonts w:ascii="Times New Roman" w:hAnsi="Times New Roman"/>
                <w:sz w:val="18"/>
                <w:szCs w:val="18"/>
              </w:rPr>
              <w:t>Ubiegające się o wydanie lub posiadające prawo jazdy kategorii AM, A1, A2, A, B1, B, B+E lub T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ED258D" w:rsidRPr="00097013" w:rsidRDefault="00ED258D" w:rsidP="00ED258D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097013">
              <w:rPr>
                <w:rFonts w:ascii="Times New Roman" w:hAnsi="Times New Roman"/>
                <w:sz w:val="18"/>
                <w:szCs w:val="18"/>
              </w:rPr>
              <w:t>Widzenie obuoczne  nie mniej niż 0,5 po korekcji.</w:t>
            </w:r>
          </w:p>
          <w:p w:rsidR="00ED258D" w:rsidRPr="00097013" w:rsidRDefault="00ED258D" w:rsidP="00ED258D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ED258D" w:rsidRPr="00097013" w:rsidRDefault="00ED258D" w:rsidP="00ED258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7013">
              <w:rPr>
                <w:rFonts w:ascii="Times New Roman" w:hAnsi="Times New Roman"/>
                <w:color w:val="000000"/>
                <w:sz w:val="18"/>
                <w:szCs w:val="18"/>
              </w:rPr>
              <w:t>W przypadku stwierdzenia jednooczności można orzec brak przeciwwskazań do kierowania pojazdami pod następującymi warunkami:</w:t>
            </w:r>
          </w:p>
          <w:p w:rsidR="00ED258D" w:rsidRPr="00097013" w:rsidRDefault="00ED258D" w:rsidP="00ED258D">
            <w:pPr>
              <w:pStyle w:val="Akapitzlist"/>
              <w:numPr>
                <w:ilvl w:val="0"/>
                <w:numId w:val="41"/>
              </w:numPr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097013">
              <w:rPr>
                <w:rFonts w:ascii="Times New Roman" w:hAnsi="Times New Roman"/>
                <w:color w:val="000000"/>
                <w:sz w:val="18"/>
                <w:szCs w:val="18"/>
              </w:rPr>
              <w:t>ostrość wzroku oka widzącego wynosi nie mniej niż 0,5 z korekcją;</w:t>
            </w:r>
          </w:p>
          <w:p w:rsidR="00ED258D" w:rsidRPr="00097013" w:rsidRDefault="00ED258D" w:rsidP="00ED258D">
            <w:pPr>
              <w:pStyle w:val="Akapitzlist"/>
              <w:numPr>
                <w:ilvl w:val="0"/>
                <w:numId w:val="41"/>
              </w:numPr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097013">
              <w:rPr>
                <w:rFonts w:ascii="Times New Roman" w:hAnsi="Times New Roman"/>
                <w:color w:val="000000"/>
                <w:sz w:val="18"/>
                <w:szCs w:val="18"/>
              </w:rPr>
              <w:t>pole widzenia oka widzącego powinno wynosić co najmniej 120</w:t>
            </w:r>
            <w:r w:rsidRPr="00097013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○</w:t>
            </w:r>
            <w:r w:rsidRPr="00097013">
              <w:rPr>
                <w:rFonts w:ascii="Times New Roman" w:hAnsi="Times New Roman"/>
                <w:color w:val="000000"/>
                <w:sz w:val="18"/>
                <w:szCs w:val="18"/>
              </w:rPr>
              <w:t>, a jego zakres powinien wynosić co najmniej 50</w:t>
            </w:r>
            <w:r w:rsidRPr="00097013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○</w:t>
            </w:r>
            <w:r w:rsidRPr="00097013">
              <w:rPr>
                <w:rFonts w:ascii="Times New Roman" w:hAnsi="Times New Roman"/>
                <w:color w:val="000000"/>
                <w:sz w:val="18"/>
                <w:szCs w:val="18"/>
              </w:rPr>
              <w:t> na lewo i na prawo oraz 20</w:t>
            </w:r>
            <w:r w:rsidRPr="00097013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○</w:t>
            </w:r>
            <w:r w:rsidRPr="00097013">
              <w:rPr>
                <w:rFonts w:ascii="Times New Roman" w:hAnsi="Times New Roman"/>
                <w:color w:val="000000"/>
                <w:sz w:val="18"/>
                <w:szCs w:val="18"/>
              </w:rPr>
              <w:t> w górę i w dół; w obrębie kąta 20</w:t>
            </w:r>
            <w:r w:rsidRPr="00097013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○</w:t>
            </w:r>
            <w:r w:rsidRPr="00097013">
              <w:rPr>
                <w:rFonts w:ascii="Times New Roman" w:hAnsi="Times New Roman"/>
                <w:color w:val="000000"/>
                <w:sz w:val="18"/>
                <w:szCs w:val="18"/>
              </w:rPr>
              <w:t> od punktu fiksacji nie powinny występować żadne ubytki pola widzenia**; </w:t>
            </w:r>
          </w:p>
          <w:p w:rsidR="00ED258D" w:rsidRPr="00097013" w:rsidRDefault="00ED258D" w:rsidP="00ED258D">
            <w:pPr>
              <w:pStyle w:val="Akapitzlist"/>
              <w:numPr>
                <w:ilvl w:val="0"/>
                <w:numId w:val="41"/>
              </w:numPr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09701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 powstania jednooczności lub diplopii upłynęło co najmniej </w:t>
            </w:r>
            <w:r w:rsidRPr="00097013">
              <w:rPr>
                <w:rFonts w:ascii="Times New Roman" w:hAnsi="Times New Roman"/>
                <w:sz w:val="18"/>
                <w:szCs w:val="18"/>
              </w:rPr>
              <w:t>6</w:t>
            </w:r>
            <w:r w:rsidRPr="00097013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097013">
              <w:rPr>
                <w:rFonts w:ascii="Times New Roman" w:hAnsi="Times New Roman"/>
                <w:color w:val="000000"/>
                <w:sz w:val="18"/>
                <w:szCs w:val="18"/>
              </w:rPr>
              <w:t>miesięcy.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ED258D" w:rsidRPr="00097013" w:rsidRDefault="00ED258D" w:rsidP="00ED258D">
            <w:pPr>
              <w:rPr>
                <w:sz w:val="18"/>
                <w:szCs w:val="18"/>
              </w:rPr>
            </w:pPr>
            <w:r w:rsidRPr="00097013">
              <w:rPr>
                <w:rFonts w:ascii="Times New Roman" w:hAnsi="Times New Roman"/>
                <w:sz w:val="18"/>
                <w:szCs w:val="18"/>
              </w:rPr>
              <w:t>Bez ograniczeń: okularowa, soczewkami kontaktowymi, wewnątrzgałkowymi, pod warunkiem dobrej tolerancji i adaptacji do korekcji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ED258D" w:rsidRPr="00097013" w:rsidRDefault="00ED258D" w:rsidP="00ED258D">
            <w:pPr>
              <w:rPr>
                <w:sz w:val="18"/>
                <w:szCs w:val="18"/>
              </w:rPr>
            </w:pPr>
            <w:r w:rsidRPr="00097013">
              <w:rPr>
                <w:rFonts w:ascii="Times New Roman" w:hAnsi="Times New Roman"/>
                <w:sz w:val="18"/>
                <w:szCs w:val="18"/>
              </w:rPr>
              <w:t>Niewymagane rozpoznawanie barw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ED258D" w:rsidRPr="00097013" w:rsidRDefault="00ED258D" w:rsidP="00ED258D">
            <w:pPr>
              <w:rPr>
                <w:rFonts w:ascii="Times New Roman" w:hAnsi="Times New Roman"/>
                <w:sz w:val="18"/>
                <w:szCs w:val="18"/>
              </w:rPr>
            </w:pPr>
            <w:r w:rsidRPr="00097013">
              <w:rPr>
                <w:rFonts w:ascii="Times New Roman" w:hAnsi="Times New Roman"/>
                <w:sz w:val="18"/>
                <w:szCs w:val="18"/>
              </w:rPr>
              <w:t>Obuoczne pole widzenia powinno wynosić co najmniej 120°, a jego zakres powinien wynosić co najmniej 50° na lewo i na prawo oraz 20° w górę i w dół;</w:t>
            </w:r>
          </w:p>
          <w:p w:rsidR="00ED258D" w:rsidRPr="00097013" w:rsidRDefault="00ED258D" w:rsidP="00ED258D">
            <w:pPr>
              <w:rPr>
                <w:sz w:val="18"/>
                <w:szCs w:val="18"/>
              </w:rPr>
            </w:pPr>
            <w:r w:rsidRPr="00097013">
              <w:rPr>
                <w:rFonts w:ascii="Times New Roman" w:hAnsi="Times New Roman"/>
                <w:sz w:val="18"/>
                <w:szCs w:val="18"/>
              </w:rPr>
              <w:t>w obrębie kąta 20° od punktu fiksacji nie powinny występować żadne ubytki pola widzenia</w:t>
            </w:r>
            <w:r w:rsidRPr="00097013">
              <w:rPr>
                <w:rFonts w:ascii="Times New Roman" w:hAnsi="Times New Roman"/>
                <w:sz w:val="18"/>
                <w:szCs w:val="18"/>
                <w:vertAlign w:val="superscript"/>
              </w:rPr>
              <w:t>**)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ED258D" w:rsidRPr="00097013" w:rsidRDefault="00ED258D" w:rsidP="00ED258D">
            <w:pPr>
              <w:rPr>
                <w:rFonts w:ascii="Times New Roman" w:hAnsi="Times New Roman"/>
                <w:sz w:val="18"/>
                <w:szCs w:val="18"/>
              </w:rPr>
            </w:pPr>
            <w:r w:rsidRPr="00097013">
              <w:rPr>
                <w:rFonts w:ascii="Times New Roman" w:hAnsi="Times New Roman"/>
                <w:sz w:val="18"/>
                <w:szCs w:val="18"/>
              </w:rPr>
              <w:t>Badanie niewymagane</w:t>
            </w:r>
            <w:r w:rsidRPr="00097013">
              <w:rPr>
                <w:rFonts w:ascii="Times New Roman" w:hAnsi="Times New Roman"/>
                <w:sz w:val="18"/>
                <w:szCs w:val="18"/>
                <w:vertAlign w:val="superscript"/>
              </w:rPr>
              <w:t>***)</w:t>
            </w:r>
          </w:p>
        </w:tc>
      </w:tr>
      <w:tr w:rsidR="00ED258D" w:rsidRPr="00097013" w:rsidTr="00785624">
        <w:trPr>
          <w:cantSplit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58D" w:rsidRPr="00097013" w:rsidDel="008903EE" w:rsidRDefault="00ED258D" w:rsidP="001063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7013">
              <w:rPr>
                <w:rFonts w:ascii="Times New Roman" w:hAnsi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D258D" w:rsidRPr="00097013" w:rsidRDefault="00ED258D" w:rsidP="001063A3">
            <w:pPr>
              <w:pStyle w:val="Akapitzlist"/>
              <w:ind w:left="0"/>
              <w:rPr>
                <w:sz w:val="18"/>
                <w:szCs w:val="18"/>
              </w:rPr>
            </w:pPr>
            <w:r w:rsidRPr="00097013">
              <w:rPr>
                <w:rFonts w:ascii="Times New Roman" w:hAnsi="Times New Roman"/>
                <w:sz w:val="18"/>
                <w:szCs w:val="18"/>
              </w:rPr>
              <w:t>Ubiegające się o wydanie lub posiadające: prawo jazdy kategorii C1, C1+E, C, C+E, D1, D1+E, D, D+E lub pozwolenie na kierowanie tramwajem</w:t>
            </w:r>
          </w:p>
        </w:tc>
        <w:tc>
          <w:tcPr>
            <w:tcW w:w="26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ED258D" w:rsidRPr="00097013" w:rsidRDefault="00ED258D" w:rsidP="001063A3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097013">
              <w:rPr>
                <w:rFonts w:ascii="Times New Roman" w:hAnsi="Times New Roman"/>
                <w:sz w:val="18"/>
                <w:szCs w:val="18"/>
              </w:rPr>
              <w:t>Oka lepiej widzącego nie mniej niż 0,8 i oka gorzej widzącego nie mniej niż 0,1 po korekcji.</w:t>
            </w:r>
          </w:p>
          <w:p w:rsidR="00ED258D" w:rsidRPr="00097013" w:rsidRDefault="00ED258D" w:rsidP="001063A3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ED258D" w:rsidRPr="00097013" w:rsidRDefault="00ED258D" w:rsidP="00ED258D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097013">
              <w:rPr>
                <w:rFonts w:ascii="Times New Roman" w:hAnsi="Times New Roman"/>
                <w:sz w:val="18"/>
                <w:szCs w:val="18"/>
              </w:rPr>
              <w:t>W przypadku stwierdzenia znacznej i nagłej utraty możliwości widzenia na jedno oko można orzec brak przeciwwskazań do kierowania pojazdami pod następującymi warunkami:</w:t>
            </w:r>
          </w:p>
          <w:p w:rsidR="00ED258D" w:rsidRPr="00097013" w:rsidRDefault="00ED258D" w:rsidP="00ED258D">
            <w:pPr>
              <w:pStyle w:val="Akapitzlist"/>
              <w:numPr>
                <w:ilvl w:val="0"/>
                <w:numId w:val="39"/>
              </w:numPr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097013">
              <w:rPr>
                <w:rFonts w:ascii="Times New Roman" w:hAnsi="Times New Roman"/>
                <w:sz w:val="18"/>
                <w:szCs w:val="18"/>
              </w:rPr>
              <w:t>od powstania znacznej utraty możliwości widzenia na jedno oko  upłynęło 6 miesięcy</w:t>
            </w:r>
            <w:r w:rsidR="0052711B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ED258D" w:rsidRPr="00097013" w:rsidRDefault="00ED258D" w:rsidP="00ED258D">
            <w:pPr>
              <w:pStyle w:val="Akapitzlist"/>
              <w:numPr>
                <w:ilvl w:val="0"/>
                <w:numId w:val="39"/>
              </w:numPr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097013">
              <w:rPr>
                <w:rFonts w:ascii="Times New Roman" w:hAnsi="Times New Roman"/>
                <w:sz w:val="18"/>
                <w:szCs w:val="18"/>
              </w:rPr>
              <w:t xml:space="preserve">przedstawienia opinii lekarza okulisty potwierdzającej adaptację. </w:t>
            </w:r>
          </w:p>
          <w:p w:rsidR="00ED258D" w:rsidRPr="00097013" w:rsidRDefault="00ED258D" w:rsidP="00ED258D">
            <w:pPr>
              <w:pStyle w:val="Akapitzlist"/>
              <w:rPr>
                <w:rFonts w:ascii="Times New Roman" w:hAnsi="Times New Roman"/>
                <w:sz w:val="18"/>
                <w:szCs w:val="18"/>
              </w:rPr>
            </w:pPr>
          </w:p>
          <w:p w:rsidR="00ED258D" w:rsidRPr="00097013" w:rsidRDefault="00ED258D" w:rsidP="00ED258D">
            <w:pPr>
              <w:pStyle w:val="Akapitzlist"/>
              <w:ind w:left="0"/>
              <w:rPr>
                <w:sz w:val="18"/>
                <w:szCs w:val="18"/>
              </w:rPr>
            </w:pPr>
            <w:r w:rsidRPr="00097013">
              <w:rPr>
                <w:rFonts w:ascii="Times New Roman" w:hAnsi="Times New Roman"/>
                <w:sz w:val="18"/>
                <w:szCs w:val="18"/>
              </w:rPr>
              <w:t>W przypadku stwierdzenia diplopii orzeka się istnienie przeciwwskazań do kierowania pojazdami.</w:t>
            </w:r>
            <w:r w:rsidRPr="0009701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3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ED258D" w:rsidRPr="00097013" w:rsidRDefault="00ED258D" w:rsidP="00FF1D66">
            <w:pPr>
              <w:rPr>
                <w:sz w:val="18"/>
                <w:szCs w:val="18"/>
              </w:rPr>
            </w:pPr>
            <w:r w:rsidRPr="00097013">
              <w:rPr>
                <w:rFonts w:ascii="Times New Roman" w:hAnsi="Times New Roman"/>
                <w:sz w:val="18"/>
                <w:szCs w:val="18"/>
              </w:rPr>
              <w:t>Bez ograniczeń: okularowa, soczewkami kontaktowymi, wewnątrzgałkowymi, pod warunkiem dobrej tolerancji i adaptacji do korekcji; dopuszczalna korekcja w granicach: ±8,0 D</w:t>
            </w:r>
          </w:p>
        </w:tc>
        <w:tc>
          <w:tcPr>
            <w:tcW w:w="18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ED258D" w:rsidRPr="00097013" w:rsidRDefault="00ED258D" w:rsidP="00FF1D66">
            <w:pPr>
              <w:rPr>
                <w:sz w:val="18"/>
                <w:szCs w:val="18"/>
              </w:rPr>
            </w:pPr>
            <w:r w:rsidRPr="00097013">
              <w:rPr>
                <w:rFonts w:ascii="Times New Roman" w:hAnsi="Times New Roman"/>
                <w:sz w:val="18"/>
                <w:szCs w:val="18"/>
              </w:rPr>
              <w:t>Prawidłowe rozpoznawanie barwy: czerwonej, zielonej, żółtej</w:t>
            </w:r>
          </w:p>
        </w:tc>
        <w:tc>
          <w:tcPr>
            <w:tcW w:w="23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ED258D" w:rsidRPr="00097013" w:rsidRDefault="00ED258D" w:rsidP="008903EE">
            <w:pPr>
              <w:rPr>
                <w:rFonts w:ascii="Times New Roman" w:hAnsi="Times New Roman"/>
                <w:sz w:val="18"/>
                <w:szCs w:val="18"/>
              </w:rPr>
            </w:pPr>
            <w:r w:rsidRPr="00097013">
              <w:rPr>
                <w:rFonts w:ascii="Times New Roman" w:hAnsi="Times New Roman"/>
                <w:sz w:val="18"/>
                <w:szCs w:val="18"/>
              </w:rPr>
              <w:t>Obuoczne pole widzenia powinno wynosić co najmniej 160°, a jego zakres powinien wynosić co najmniej 70° na lewo i na prawo oraz 30° w górę i w dół; w obrębie kąta 30° od punktu fiksacji nie powinny występować żadne ubytki pola widzenia</w:t>
            </w:r>
            <w:r w:rsidRPr="00097013">
              <w:rPr>
                <w:rFonts w:ascii="Times New Roman" w:hAnsi="Times New Roman"/>
                <w:sz w:val="18"/>
                <w:szCs w:val="18"/>
                <w:vertAlign w:val="superscript"/>
              </w:rPr>
              <w:t>**)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ED258D" w:rsidRPr="00097013" w:rsidRDefault="00ED258D" w:rsidP="001063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7013">
              <w:rPr>
                <w:rFonts w:ascii="Times New Roman" w:hAnsi="Times New Roman"/>
                <w:sz w:val="18"/>
                <w:szCs w:val="18"/>
              </w:rPr>
              <w:t>Prawidłowe</w:t>
            </w:r>
          </w:p>
        </w:tc>
      </w:tr>
      <w:tr w:rsidR="00ED258D" w:rsidRPr="00097013" w:rsidTr="00785624">
        <w:trPr>
          <w:cantSplit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58D" w:rsidRPr="00097013" w:rsidRDefault="00ED258D" w:rsidP="004368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7013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D258D" w:rsidRPr="00097013" w:rsidDel="008903EE" w:rsidRDefault="00ED258D" w:rsidP="001063A3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097013">
              <w:rPr>
                <w:rFonts w:ascii="Times New Roman" w:hAnsi="Times New Roman"/>
                <w:sz w:val="18"/>
                <w:szCs w:val="18"/>
              </w:rPr>
              <w:t>Występujące o zezwolenie na kierowanie pojazdem uprzywilejowanym lub przewożącym wartości pieniężne albo o przedłużenie ważności tego zezwolenia</w:t>
            </w:r>
          </w:p>
        </w:tc>
        <w:tc>
          <w:tcPr>
            <w:tcW w:w="26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258D" w:rsidRPr="00097013" w:rsidDel="004D5083" w:rsidRDefault="00ED258D">
            <w:pPr>
              <w:pStyle w:val="Akapitzlist"/>
              <w:ind w:left="17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258D" w:rsidRPr="00097013" w:rsidDel="004D5083" w:rsidRDefault="00ED258D">
            <w:pPr>
              <w:pStyle w:val="Akapitzlist"/>
              <w:ind w:left="17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258D" w:rsidRPr="00097013" w:rsidDel="004D5083" w:rsidRDefault="00ED258D">
            <w:pPr>
              <w:pStyle w:val="Akapitzlist"/>
              <w:ind w:left="17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258D" w:rsidRPr="00097013" w:rsidRDefault="00ED258D" w:rsidP="008903E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58D" w:rsidRPr="00097013" w:rsidRDefault="00ED258D" w:rsidP="008903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258D" w:rsidRPr="008E036C" w:rsidTr="00785624">
        <w:trPr>
          <w:cantSplit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58D" w:rsidRPr="008E036C" w:rsidRDefault="00ED258D" w:rsidP="004368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036C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D258D" w:rsidRPr="008E036C" w:rsidDel="008903EE" w:rsidRDefault="00ED258D" w:rsidP="001063A3">
            <w:pPr>
              <w:pStyle w:val="Akapitzlist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8E036C">
              <w:rPr>
                <w:rFonts w:ascii="Times New Roman" w:hAnsi="Times New Roman"/>
                <w:sz w:val="16"/>
                <w:szCs w:val="16"/>
              </w:rPr>
              <w:t>Podlegające badaniom na podstawie art. 39j ust. 1 albo art. 39m ustawy z dnia 6 września 2001 r. o transporcie drogowym</w:t>
            </w:r>
          </w:p>
        </w:tc>
        <w:tc>
          <w:tcPr>
            <w:tcW w:w="26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258D" w:rsidRPr="008E036C" w:rsidDel="004D5083" w:rsidRDefault="00ED258D">
            <w:pPr>
              <w:pStyle w:val="Akapitzlist"/>
              <w:ind w:left="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258D" w:rsidRPr="008E036C" w:rsidDel="004D5083" w:rsidRDefault="00ED258D">
            <w:pPr>
              <w:pStyle w:val="Akapitzlist"/>
              <w:ind w:left="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258D" w:rsidRPr="008E036C" w:rsidDel="004D5083" w:rsidRDefault="00ED258D">
            <w:pPr>
              <w:pStyle w:val="Akapitzlist"/>
              <w:ind w:left="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258D" w:rsidRPr="008E036C" w:rsidRDefault="00ED258D" w:rsidP="008903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58D" w:rsidRPr="008E036C" w:rsidRDefault="00ED258D" w:rsidP="008903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258D" w:rsidRPr="008E036C" w:rsidTr="00785624">
        <w:trPr>
          <w:cantSplit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58D" w:rsidRPr="008E036C" w:rsidRDefault="00ED258D" w:rsidP="004368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036C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D258D" w:rsidRPr="008E036C" w:rsidDel="008903EE" w:rsidRDefault="002A1B01" w:rsidP="001063A3">
            <w:pPr>
              <w:pStyle w:val="Akapitzlist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Wymienione </w:t>
            </w:r>
            <w:r w:rsidR="00ED258D" w:rsidRPr="008E036C">
              <w:rPr>
                <w:rFonts w:ascii="Times New Roman" w:hAnsi="Times New Roman"/>
                <w:sz w:val="16"/>
                <w:szCs w:val="16"/>
              </w:rPr>
              <w:t>w art. 34 ust. 1, art. 60 lub art. 117 ust. 4 ustawy z dnia 5 stycznia 2011 r. o kierujących pojazdami</w:t>
            </w:r>
          </w:p>
        </w:tc>
        <w:tc>
          <w:tcPr>
            <w:tcW w:w="26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58D" w:rsidRPr="008E036C" w:rsidDel="004D5083" w:rsidRDefault="00ED258D">
            <w:pPr>
              <w:pStyle w:val="Akapitzlist"/>
              <w:ind w:left="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58D" w:rsidRPr="008E036C" w:rsidDel="004D5083" w:rsidRDefault="00ED258D">
            <w:pPr>
              <w:pStyle w:val="Akapitzlist"/>
              <w:ind w:left="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58D" w:rsidRPr="008E036C" w:rsidDel="004D5083" w:rsidRDefault="00ED258D">
            <w:pPr>
              <w:pStyle w:val="Akapitzlist"/>
              <w:ind w:left="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58D" w:rsidRPr="008E036C" w:rsidRDefault="00ED258D" w:rsidP="008903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8D" w:rsidRPr="008E036C" w:rsidRDefault="00ED258D" w:rsidP="008903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97013" w:rsidRDefault="00097013" w:rsidP="005C3A28">
      <w:pPr>
        <w:ind w:firstLine="708"/>
        <w:jc w:val="both"/>
        <w:rPr>
          <w:rFonts w:ascii="Times New Roman" w:hAnsi="Times New Roman"/>
        </w:rPr>
      </w:pPr>
    </w:p>
    <w:p w:rsidR="00565AF0" w:rsidRDefault="00565AF0" w:rsidP="005C3A28">
      <w:pPr>
        <w:ind w:firstLine="708"/>
        <w:jc w:val="both"/>
        <w:rPr>
          <w:rFonts w:ascii="Times New Roman" w:hAnsi="Times New Roman"/>
        </w:rPr>
      </w:pPr>
      <w:r w:rsidRPr="001063A3">
        <w:rPr>
          <w:rFonts w:ascii="Times New Roman" w:hAnsi="Times New Roman"/>
        </w:rPr>
        <w:t>Objaśnienia:</w:t>
      </w:r>
    </w:p>
    <w:p w:rsidR="005A4A11" w:rsidRDefault="005A4A11" w:rsidP="005C3A28">
      <w:pPr>
        <w:ind w:firstLine="708"/>
        <w:jc w:val="both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"/>
        <w:gridCol w:w="13547"/>
      </w:tblGrid>
      <w:tr w:rsidR="00C50D6C" w:rsidRPr="008E036C" w:rsidTr="008E036C">
        <w:tc>
          <w:tcPr>
            <w:tcW w:w="421" w:type="dxa"/>
            <w:shd w:val="clear" w:color="auto" w:fill="auto"/>
          </w:tcPr>
          <w:p w:rsidR="00C50D6C" w:rsidRPr="008E036C" w:rsidRDefault="00C50D6C" w:rsidP="008E036C">
            <w:pPr>
              <w:jc w:val="both"/>
              <w:rPr>
                <w:rFonts w:ascii="Times New Roman" w:hAnsi="Times New Roman"/>
              </w:rPr>
            </w:pPr>
            <w:r w:rsidRPr="008E036C">
              <w:rPr>
                <w:rFonts w:ascii="Times New Roman" w:hAnsi="Times New Roman"/>
                <w:vertAlign w:val="superscript"/>
              </w:rPr>
              <w:t>*)</w:t>
            </w:r>
          </w:p>
        </w:tc>
        <w:tc>
          <w:tcPr>
            <w:tcW w:w="13571" w:type="dxa"/>
            <w:shd w:val="clear" w:color="auto" w:fill="auto"/>
          </w:tcPr>
          <w:p w:rsidR="00C50D6C" w:rsidRPr="008E036C" w:rsidRDefault="005A4A11" w:rsidP="008E036C">
            <w:pPr>
              <w:jc w:val="both"/>
              <w:rPr>
                <w:rFonts w:ascii="Times New Roman" w:hAnsi="Times New Roman"/>
              </w:rPr>
            </w:pPr>
            <w:r w:rsidRPr="008E036C">
              <w:rPr>
                <w:rFonts w:ascii="Times New Roman" w:hAnsi="Times New Roman"/>
              </w:rPr>
              <w:t>Brak odchyleń w zakresie badania zmierzchowego jest równoznaczny z prawidłowym wynikiem badania wrażliwości na kontrast</w:t>
            </w:r>
            <w:r w:rsidR="00B152A6" w:rsidRPr="008E036C">
              <w:rPr>
                <w:rFonts w:ascii="Times New Roman" w:hAnsi="Times New Roman"/>
              </w:rPr>
              <w:t>.</w:t>
            </w:r>
          </w:p>
        </w:tc>
      </w:tr>
      <w:tr w:rsidR="00C50D6C" w:rsidRPr="008E036C" w:rsidTr="008E036C">
        <w:tc>
          <w:tcPr>
            <w:tcW w:w="421" w:type="dxa"/>
            <w:shd w:val="clear" w:color="auto" w:fill="auto"/>
          </w:tcPr>
          <w:p w:rsidR="00C50D6C" w:rsidRPr="008E036C" w:rsidRDefault="00C50D6C" w:rsidP="008E036C">
            <w:pPr>
              <w:jc w:val="both"/>
              <w:rPr>
                <w:rFonts w:ascii="Times New Roman" w:hAnsi="Times New Roman"/>
              </w:rPr>
            </w:pPr>
            <w:r w:rsidRPr="008E036C">
              <w:rPr>
                <w:rFonts w:ascii="Times New Roman" w:hAnsi="Times New Roman"/>
                <w:vertAlign w:val="superscript"/>
              </w:rPr>
              <w:t>**)</w:t>
            </w:r>
          </w:p>
        </w:tc>
        <w:tc>
          <w:tcPr>
            <w:tcW w:w="13571" w:type="dxa"/>
            <w:shd w:val="clear" w:color="auto" w:fill="auto"/>
          </w:tcPr>
          <w:p w:rsidR="00C50D6C" w:rsidRPr="008E036C" w:rsidRDefault="00C50D6C" w:rsidP="008E036C">
            <w:pPr>
              <w:jc w:val="both"/>
              <w:rPr>
                <w:rFonts w:ascii="Times New Roman" w:hAnsi="Times New Roman"/>
              </w:rPr>
            </w:pPr>
            <w:r w:rsidRPr="008E036C">
              <w:rPr>
                <w:rFonts w:ascii="Times New Roman" w:hAnsi="Times New Roman"/>
              </w:rPr>
              <w:t>Wymagane badanie pola widzenia - orientacyjne; w przypadku stwierdzenia jaskry lub zmian zwyrodnieniowych siatkówki jest wskazane wykonanie badania pola widzenia perymetrycznie.</w:t>
            </w:r>
          </w:p>
        </w:tc>
      </w:tr>
      <w:tr w:rsidR="00C50D6C" w:rsidRPr="008E036C" w:rsidTr="008E036C">
        <w:tc>
          <w:tcPr>
            <w:tcW w:w="421" w:type="dxa"/>
            <w:shd w:val="clear" w:color="auto" w:fill="auto"/>
          </w:tcPr>
          <w:p w:rsidR="00C50D6C" w:rsidRPr="008E036C" w:rsidRDefault="00C50D6C" w:rsidP="008E036C">
            <w:pPr>
              <w:jc w:val="both"/>
              <w:rPr>
                <w:rFonts w:ascii="Times New Roman" w:hAnsi="Times New Roman"/>
              </w:rPr>
            </w:pPr>
            <w:r w:rsidRPr="008E036C">
              <w:rPr>
                <w:rFonts w:ascii="Times New Roman" w:hAnsi="Times New Roman"/>
                <w:vertAlign w:val="superscript"/>
              </w:rPr>
              <w:t>***)</w:t>
            </w:r>
          </w:p>
        </w:tc>
        <w:tc>
          <w:tcPr>
            <w:tcW w:w="13571" w:type="dxa"/>
            <w:shd w:val="clear" w:color="auto" w:fill="auto"/>
          </w:tcPr>
          <w:p w:rsidR="00C50D6C" w:rsidRPr="008E036C" w:rsidRDefault="00C50D6C" w:rsidP="008E036C">
            <w:pPr>
              <w:jc w:val="both"/>
              <w:rPr>
                <w:rFonts w:ascii="Times New Roman" w:hAnsi="Times New Roman"/>
              </w:rPr>
            </w:pPr>
            <w:r w:rsidRPr="008E036C">
              <w:rPr>
                <w:rFonts w:ascii="Times New Roman" w:hAnsi="Times New Roman"/>
              </w:rPr>
              <w:t>Badanie widzenia zmierzchowego i wrażliwości na olśnienie należy wykonać, jeżeli osoba badana ma wszczepione soczewki wewnątrzgałkowe lub jest po laserowej korekcji wad wzroku lub z innych powodów wynikających z badania lekarskiego; w przypadku zaburzeń widzenia zmierzchowego i wrażliwości na olśnienie możliwe jest określenie ograniczeń w korzystaniu z uprawnień do kierowania pojazdami, wynikające ze stanu zdrowia, o których mowa w art. 79 ust. 3 ustawy z dnia 5 stycznia 2011 r. o kierujących pojazdami.</w:t>
            </w:r>
            <w:r w:rsidR="00D73E5E">
              <w:rPr>
                <w:rFonts w:ascii="Times New Roman" w:hAnsi="Times New Roman"/>
              </w:rPr>
              <w:t>”</w:t>
            </w:r>
            <w:r w:rsidR="00092CDD">
              <w:rPr>
                <w:rFonts w:ascii="Times New Roman" w:hAnsi="Times New Roman"/>
              </w:rPr>
              <w:t>.</w:t>
            </w:r>
          </w:p>
        </w:tc>
      </w:tr>
    </w:tbl>
    <w:p w:rsidR="00565AF0" w:rsidRDefault="00565AF0" w:rsidP="00F039B3">
      <w:pPr>
        <w:tabs>
          <w:tab w:val="left" w:pos="568"/>
        </w:tabs>
        <w:jc w:val="both"/>
      </w:pPr>
    </w:p>
    <w:sectPr w:rsidR="00565AF0" w:rsidSect="005B7F3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923E7"/>
    <w:multiLevelType w:val="hybridMultilevel"/>
    <w:tmpl w:val="1C9877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E6CD6"/>
    <w:multiLevelType w:val="hybridMultilevel"/>
    <w:tmpl w:val="282EFB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B5ED3"/>
    <w:multiLevelType w:val="hybridMultilevel"/>
    <w:tmpl w:val="404AD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05756"/>
    <w:multiLevelType w:val="hybridMultilevel"/>
    <w:tmpl w:val="A56A6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509E4"/>
    <w:multiLevelType w:val="hybridMultilevel"/>
    <w:tmpl w:val="2676EC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52292"/>
    <w:multiLevelType w:val="hybridMultilevel"/>
    <w:tmpl w:val="00D687C2"/>
    <w:lvl w:ilvl="0" w:tplc="0415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 w15:restartNumberingAfterBreak="0">
    <w:nsid w:val="182745C6"/>
    <w:multiLevelType w:val="hybridMultilevel"/>
    <w:tmpl w:val="F7F61F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22D6A"/>
    <w:multiLevelType w:val="hybridMultilevel"/>
    <w:tmpl w:val="F7C01112"/>
    <w:lvl w:ilvl="0" w:tplc="F6B66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B36A6"/>
    <w:multiLevelType w:val="hybridMultilevel"/>
    <w:tmpl w:val="37286194"/>
    <w:lvl w:ilvl="0" w:tplc="04150011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171F4"/>
    <w:multiLevelType w:val="hybridMultilevel"/>
    <w:tmpl w:val="F2FAFC8E"/>
    <w:lvl w:ilvl="0" w:tplc="0415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0" w15:restartNumberingAfterBreak="0">
    <w:nsid w:val="2D375369"/>
    <w:multiLevelType w:val="hybridMultilevel"/>
    <w:tmpl w:val="3B14D9E2"/>
    <w:lvl w:ilvl="0" w:tplc="0415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2D8A4F52"/>
    <w:multiLevelType w:val="hybridMultilevel"/>
    <w:tmpl w:val="69F65A2A"/>
    <w:lvl w:ilvl="0" w:tplc="53B0E4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B202C"/>
    <w:multiLevelType w:val="hybridMultilevel"/>
    <w:tmpl w:val="EFB46B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84B58"/>
    <w:multiLevelType w:val="hybridMultilevel"/>
    <w:tmpl w:val="67FCBF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76677"/>
    <w:multiLevelType w:val="hybridMultilevel"/>
    <w:tmpl w:val="9628E33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952285"/>
    <w:multiLevelType w:val="hybridMultilevel"/>
    <w:tmpl w:val="25F446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D67DB"/>
    <w:multiLevelType w:val="hybridMultilevel"/>
    <w:tmpl w:val="FD3A5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F65D88"/>
    <w:multiLevelType w:val="hybridMultilevel"/>
    <w:tmpl w:val="F6DE2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D70A76"/>
    <w:multiLevelType w:val="hybridMultilevel"/>
    <w:tmpl w:val="2EB2B6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AD4233"/>
    <w:multiLevelType w:val="hybridMultilevel"/>
    <w:tmpl w:val="D69A90C0"/>
    <w:lvl w:ilvl="0" w:tplc="0415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0" w15:restartNumberingAfterBreak="0">
    <w:nsid w:val="3AFF0A4C"/>
    <w:multiLevelType w:val="hybridMultilevel"/>
    <w:tmpl w:val="2876A5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147DFD"/>
    <w:multiLevelType w:val="hybridMultilevel"/>
    <w:tmpl w:val="33C0A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C30B78"/>
    <w:multiLevelType w:val="hybridMultilevel"/>
    <w:tmpl w:val="33C0A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B256BB"/>
    <w:multiLevelType w:val="hybridMultilevel"/>
    <w:tmpl w:val="2EB2B6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5B42C3"/>
    <w:multiLevelType w:val="hybridMultilevel"/>
    <w:tmpl w:val="E24291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E216D0"/>
    <w:multiLevelType w:val="hybridMultilevel"/>
    <w:tmpl w:val="535EB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602336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981ED6"/>
    <w:multiLevelType w:val="hybridMultilevel"/>
    <w:tmpl w:val="DD9AE7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D8394C"/>
    <w:multiLevelType w:val="hybridMultilevel"/>
    <w:tmpl w:val="9628E33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366E15"/>
    <w:multiLevelType w:val="hybridMultilevel"/>
    <w:tmpl w:val="9C607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9C5092"/>
    <w:multiLevelType w:val="hybridMultilevel"/>
    <w:tmpl w:val="7EDEB178"/>
    <w:lvl w:ilvl="0" w:tplc="0415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0" w15:restartNumberingAfterBreak="0">
    <w:nsid w:val="587B3852"/>
    <w:multiLevelType w:val="hybridMultilevel"/>
    <w:tmpl w:val="C584F67C"/>
    <w:lvl w:ilvl="0" w:tplc="0415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1" w15:restartNumberingAfterBreak="0">
    <w:nsid w:val="592648BA"/>
    <w:multiLevelType w:val="hybridMultilevel"/>
    <w:tmpl w:val="8C2AC7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563D0B"/>
    <w:multiLevelType w:val="hybridMultilevel"/>
    <w:tmpl w:val="3C307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E00156"/>
    <w:multiLevelType w:val="hybridMultilevel"/>
    <w:tmpl w:val="E6DAEF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CF57D8"/>
    <w:multiLevelType w:val="hybridMultilevel"/>
    <w:tmpl w:val="DD9AE7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AE4072"/>
    <w:multiLevelType w:val="hybridMultilevel"/>
    <w:tmpl w:val="308CD9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3049D4"/>
    <w:multiLevelType w:val="hybridMultilevel"/>
    <w:tmpl w:val="3C2A70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8571D5"/>
    <w:multiLevelType w:val="hybridMultilevel"/>
    <w:tmpl w:val="B3C055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B11CED"/>
    <w:multiLevelType w:val="hybridMultilevel"/>
    <w:tmpl w:val="089A7B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7E83A50">
      <w:numFmt w:val="bullet"/>
      <w:lvlText w:val=""/>
      <w:lvlJc w:val="left"/>
      <w:pPr>
        <w:ind w:left="1440" w:hanging="360"/>
      </w:pPr>
      <w:rPr>
        <w:rFonts w:ascii="Symbol" w:eastAsia="Times New Roman" w:hAnsi="Symbol" w:cs="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971216"/>
    <w:multiLevelType w:val="hybridMultilevel"/>
    <w:tmpl w:val="C0645E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E408FE"/>
    <w:multiLevelType w:val="hybridMultilevel"/>
    <w:tmpl w:val="E1FC3D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0"/>
  </w:num>
  <w:num w:numId="3">
    <w:abstractNumId w:val="25"/>
  </w:num>
  <w:num w:numId="4">
    <w:abstractNumId w:val="35"/>
  </w:num>
  <w:num w:numId="5">
    <w:abstractNumId w:val="12"/>
  </w:num>
  <w:num w:numId="6">
    <w:abstractNumId w:val="3"/>
  </w:num>
  <w:num w:numId="7">
    <w:abstractNumId w:val="1"/>
  </w:num>
  <w:num w:numId="8">
    <w:abstractNumId w:val="28"/>
  </w:num>
  <w:num w:numId="9">
    <w:abstractNumId w:val="11"/>
  </w:num>
  <w:num w:numId="10">
    <w:abstractNumId w:val="38"/>
  </w:num>
  <w:num w:numId="11">
    <w:abstractNumId w:val="19"/>
  </w:num>
  <w:num w:numId="12">
    <w:abstractNumId w:val="5"/>
  </w:num>
  <w:num w:numId="13">
    <w:abstractNumId w:val="29"/>
  </w:num>
  <w:num w:numId="14">
    <w:abstractNumId w:val="9"/>
  </w:num>
  <w:num w:numId="15">
    <w:abstractNumId w:val="10"/>
  </w:num>
  <w:num w:numId="16">
    <w:abstractNumId w:val="30"/>
  </w:num>
  <w:num w:numId="17">
    <w:abstractNumId w:val="0"/>
  </w:num>
  <w:num w:numId="18">
    <w:abstractNumId w:val="8"/>
  </w:num>
  <w:num w:numId="19">
    <w:abstractNumId w:val="14"/>
  </w:num>
  <w:num w:numId="20">
    <w:abstractNumId w:val="34"/>
  </w:num>
  <w:num w:numId="21">
    <w:abstractNumId w:val="23"/>
  </w:num>
  <w:num w:numId="22">
    <w:abstractNumId w:val="31"/>
  </w:num>
  <w:num w:numId="23">
    <w:abstractNumId w:val="4"/>
  </w:num>
  <w:num w:numId="24">
    <w:abstractNumId w:val="22"/>
  </w:num>
  <w:num w:numId="25">
    <w:abstractNumId w:val="16"/>
  </w:num>
  <w:num w:numId="26">
    <w:abstractNumId w:val="39"/>
  </w:num>
  <w:num w:numId="27">
    <w:abstractNumId w:val="7"/>
  </w:num>
  <w:num w:numId="28">
    <w:abstractNumId w:val="27"/>
  </w:num>
  <w:num w:numId="29">
    <w:abstractNumId w:val="26"/>
  </w:num>
  <w:num w:numId="30">
    <w:abstractNumId w:val="21"/>
  </w:num>
  <w:num w:numId="31">
    <w:abstractNumId w:val="20"/>
  </w:num>
  <w:num w:numId="32">
    <w:abstractNumId w:val="18"/>
  </w:num>
  <w:num w:numId="33">
    <w:abstractNumId w:val="32"/>
  </w:num>
  <w:num w:numId="34">
    <w:abstractNumId w:val="33"/>
  </w:num>
  <w:num w:numId="35">
    <w:abstractNumId w:val="17"/>
  </w:num>
  <w:num w:numId="36">
    <w:abstractNumId w:val="37"/>
  </w:num>
  <w:num w:numId="37">
    <w:abstractNumId w:val="2"/>
  </w:num>
  <w:num w:numId="38">
    <w:abstractNumId w:val="24"/>
  </w:num>
  <w:num w:numId="39">
    <w:abstractNumId w:val="15"/>
  </w:num>
  <w:num w:numId="40">
    <w:abstractNumId w:val="36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B23"/>
    <w:rsid w:val="00040A2C"/>
    <w:rsid w:val="00046E76"/>
    <w:rsid w:val="00083B95"/>
    <w:rsid w:val="00092CDD"/>
    <w:rsid w:val="00097013"/>
    <w:rsid w:val="000F0F3B"/>
    <w:rsid w:val="001029AA"/>
    <w:rsid w:val="001063A3"/>
    <w:rsid w:val="001463B0"/>
    <w:rsid w:val="00154796"/>
    <w:rsid w:val="00175025"/>
    <w:rsid w:val="00177342"/>
    <w:rsid w:val="00192E60"/>
    <w:rsid w:val="001E13FB"/>
    <w:rsid w:val="00233A2C"/>
    <w:rsid w:val="00273719"/>
    <w:rsid w:val="00293CDB"/>
    <w:rsid w:val="002A1B01"/>
    <w:rsid w:val="002A4A41"/>
    <w:rsid w:val="002E070D"/>
    <w:rsid w:val="002E6761"/>
    <w:rsid w:val="00347440"/>
    <w:rsid w:val="00391F80"/>
    <w:rsid w:val="003B0E86"/>
    <w:rsid w:val="003C39E8"/>
    <w:rsid w:val="00417F8A"/>
    <w:rsid w:val="0042470A"/>
    <w:rsid w:val="00427116"/>
    <w:rsid w:val="00431D7C"/>
    <w:rsid w:val="00436845"/>
    <w:rsid w:val="004D5083"/>
    <w:rsid w:val="00525F90"/>
    <w:rsid w:val="0052711B"/>
    <w:rsid w:val="00565AF0"/>
    <w:rsid w:val="005A4A11"/>
    <w:rsid w:val="005B7F3C"/>
    <w:rsid w:val="005C3A28"/>
    <w:rsid w:val="00677EE0"/>
    <w:rsid w:val="006A6B23"/>
    <w:rsid w:val="00736542"/>
    <w:rsid w:val="00763B62"/>
    <w:rsid w:val="00785624"/>
    <w:rsid w:val="00837D27"/>
    <w:rsid w:val="00855E9A"/>
    <w:rsid w:val="00875202"/>
    <w:rsid w:val="008903EE"/>
    <w:rsid w:val="008E036C"/>
    <w:rsid w:val="008E1C28"/>
    <w:rsid w:val="008F575E"/>
    <w:rsid w:val="008F6174"/>
    <w:rsid w:val="009107B5"/>
    <w:rsid w:val="009670DB"/>
    <w:rsid w:val="009C252B"/>
    <w:rsid w:val="00A76DA1"/>
    <w:rsid w:val="00A97956"/>
    <w:rsid w:val="00AA74C2"/>
    <w:rsid w:val="00B048A2"/>
    <w:rsid w:val="00B146A5"/>
    <w:rsid w:val="00B152A6"/>
    <w:rsid w:val="00B90F94"/>
    <w:rsid w:val="00BF5A4E"/>
    <w:rsid w:val="00C50D6C"/>
    <w:rsid w:val="00C54CE2"/>
    <w:rsid w:val="00C5690B"/>
    <w:rsid w:val="00C57DC3"/>
    <w:rsid w:val="00C612C6"/>
    <w:rsid w:val="00C82151"/>
    <w:rsid w:val="00C94453"/>
    <w:rsid w:val="00D2690C"/>
    <w:rsid w:val="00D676FE"/>
    <w:rsid w:val="00D73E5E"/>
    <w:rsid w:val="00DA71B9"/>
    <w:rsid w:val="00DB44A1"/>
    <w:rsid w:val="00E07D5B"/>
    <w:rsid w:val="00E40C06"/>
    <w:rsid w:val="00E634FF"/>
    <w:rsid w:val="00ED258D"/>
    <w:rsid w:val="00F039B3"/>
    <w:rsid w:val="00F840BE"/>
    <w:rsid w:val="00F860F0"/>
    <w:rsid w:val="00FA57E5"/>
    <w:rsid w:val="00FD2BBC"/>
    <w:rsid w:val="00FD61ED"/>
    <w:rsid w:val="00FF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5FA05-9766-4BA6-B616-6235E16E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6B23"/>
    <w:pPr>
      <w:widowControl w:val="0"/>
      <w:autoSpaceDE w:val="0"/>
      <w:autoSpaceDN w:val="0"/>
      <w:adjustRightInd w:val="0"/>
    </w:pPr>
    <w:rPr>
      <w:rFonts w:ascii="A" w:eastAsia="Times New Roman" w:hAnsi="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ZORGWPOROZUMIENIUnazwaorganuwporozumieniuzktrymaktjestwydawany">
    <w:name w:val="NAZ_ORG_W_POROZUMIENIU – nazwa organu w porozumieniu z którym akt jest wydawany"/>
    <w:basedOn w:val="Normalny"/>
    <w:uiPriority w:val="28"/>
    <w:qFormat/>
    <w:rsid w:val="006A6B23"/>
    <w:pPr>
      <w:keepNext/>
      <w:widowControl/>
      <w:suppressAutoHyphens/>
      <w:autoSpaceDE/>
      <w:autoSpaceDN/>
      <w:adjustRightInd/>
      <w:spacing w:after="120" w:line="360" w:lineRule="auto"/>
      <w:ind w:right="4820"/>
    </w:pPr>
    <w:rPr>
      <w:rFonts w:ascii="Times" w:hAnsi="Times"/>
      <w:b/>
      <w:bCs/>
      <w:caps/>
      <w:kern w:val="24"/>
      <w:sz w:val="24"/>
      <w:szCs w:val="24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6A6B23"/>
    <w:pPr>
      <w:keepNext/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uiPriority w:val="34"/>
    <w:qFormat/>
    <w:rsid w:val="006A6B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21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8215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IGindeksgrny">
    <w:name w:val="_IG_ – indeks górny"/>
    <w:uiPriority w:val="2"/>
    <w:qFormat/>
    <w:rsid w:val="00C54CE2"/>
    <w:rPr>
      <w:b w:val="0"/>
      <w:i w:val="0"/>
      <w:vanish w:val="0"/>
      <w:spacing w:val="0"/>
      <w:vertAlign w:val="superscript"/>
    </w:rPr>
  </w:style>
  <w:style w:type="character" w:styleId="Odwoaniedokomentarza">
    <w:name w:val="annotation reference"/>
    <w:uiPriority w:val="99"/>
    <w:semiHidden/>
    <w:unhideWhenUsed/>
    <w:rsid w:val="001063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63A3"/>
  </w:style>
  <w:style w:type="character" w:customStyle="1" w:styleId="TekstkomentarzaZnak">
    <w:name w:val="Tekst komentarza Znak"/>
    <w:link w:val="Tekstkomentarza"/>
    <w:uiPriority w:val="99"/>
    <w:semiHidden/>
    <w:rsid w:val="001063A3"/>
    <w:rPr>
      <w:rFonts w:ascii="A" w:eastAsia="Times New Roman" w:hAnsi="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63A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063A3"/>
    <w:rPr>
      <w:rFonts w:ascii="A" w:eastAsia="Times New Roman" w:hAnsi="A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063A3"/>
    <w:rPr>
      <w:rFonts w:ascii="A" w:eastAsia="Times New Roman" w:hAnsi="A"/>
    </w:rPr>
  </w:style>
  <w:style w:type="table" w:styleId="Tabela-Siatka">
    <w:name w:val="Table Grid"/>
    <w:basedOn w:val="Standardowy"/>
    <w:uiPriority w:val="59"/>
    <w:rsid w:val="00C50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8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7CF01-D28A-4DC4-AB5F-CAE312B6B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b.zablocki</dc:creator>
  <cp:keywords/>
  <cp:lastModifiedBy>Katarzyna Chrobocińska</cp:lastModifiedBy>
  <cp:revision>2</cp:revision>
  <cp:lastPrinted>2017-11-14T06:02:00Z</cp:lastPrinted>
  <dcterms:created xsi:type="dcterms:W3CDTF">2018-02-05T12:46:00Z</dcterms:created>
  <dcterms:modified xsi:type="dcterms:W3CDTF">2018-02-05T12:46:00Z</dcterms:modified>
</cp:coreProperties>
</file>